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A/544/2018 vom 11. April 2018</w:t>
      </w:r>
    </w:p>
    <w:p>
      <w:r>
        <w:t>GE Cour de justice, 2018-04-11, FR</w:t>
      </w:r>
    </w:p>
    <w:p>
      <w:r>
        <w:rPr>
          <w:b/>
        </w:rPr>
        <w:t xml:space="preserve">Quelle: </w:t>
      </w:r>
      <w:r>
        <w:t>https://mcp.opencaselaw.ch/entscheid/ge_gerichte_A_544_2018</w:t>
      </w:r>
    </w:p>
    <w:p>
      <w:r>
        <w:t>FR: GE_GERICHTE A/544/2018 du 11 avril 2018</w:t>
      </w:r>
    </w:p>
    <w:p>
      <w:r>
        <w:t>IT: GE_GERICHTE A/544/2018 del 11 aprile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11.04.2018 A/544/2018</w:t>
      </w:r>
    </w:p>
    <w:p>
      <w:r>
        <w:t>A/544/2018 ATAS/309/2018 du 11.04.2018 ( AVS ) , RETIRE rÉpublique et canton de genÈve POUVOIR JUDICIAIRE A/544/2018 ATAS/309/2018 COUR DE JUSTICE Chambre des assurances sociales Arrêt du 11 avril 2018 4 ème Chambre En la cause ENTREPRISE A______, Monsieur B______, sise à CHÊNE-BOUGERIES, représentée par C______ SA recourante contre CAISSE DE COMPENSATION BÂTIMENT-GYPSERIE-PEINTURE-ÉTANCHÉITE ET TOITURES-CARRELAGE, sise rue de Malatrex 14, GENÈVE intimée Vu la décision sur oppositions de la caisse de compensation bâtiment-gypserie-peinture-étanchéité et toitures-carrelage (ci-après : l’intimée) du 15 janvier 2018 ; Vu le recours interjeté le 14 février 2018 par l’entreprise A______ (ci-après : la recourante), par l’intermédiaire de son conseil, contre cette décision ; Attendu que par courrier du 19 mars 2018, le conseil de la recourante a indiqué que cette dernière retirait son recours, un compromis ayant été trouvé avec l’intimée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