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A/543/2025 vom 14. Oktober 2025</w:t>
      </w:r>
    </w:p>
    <w:p>
      <w:r>
        <w:t>GE Cour de justice, 2025-10-14, FR</w:t>
      </w:r>
    </w:p>
    <w:p>
      <w:r>
        <w:rPr>
          <w:b/>
        </w:rPr>
        <w:t xml:space="preserve">Quelle: </w:t>
      </w:r>
      <w:r>
        <w:t>https://mcp.opencaselaw.ch/entscheid/ge_gerichte_A_543_2025</w:t>
      </w:r>
    </w:p>
    <w:p>
      <w:r>
        <w:t>FR: GE_GERICHTE A/543/2025 du 14 octobre 2025</w:t>
      </w:r>
    </w:p>
    <w:p>
      <w:r>
        <w:t>IT: GE_GERICHTE A/543/2025 del 14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À titre préalable, le recourant sollicite son audition.</w:t>
      </w:r>
    </w:p>
    <w:p>
      <w:r>
        <w:rPr>
          <w:b/>
        </w:rPr>
        <w:t>E. 2.1</w:t>
      </w:r>
    </w:p>
    <w:p>
      <w:r>
        <w:t>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140 I 285 consid. 6.3.1 et les arrêts cités).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il ne confère pas le droit d'être entendu oralement, ni celui d'obtenir l'audition de témoins (art. 41 in fine LPA ; ATF 134 I 140 consid. 5.3 ; arrêt du Tribunal fédéral 2C_901/2014 du 27 janvier 2015 consid. 3).</w:t>
      </w:r>
    </w:p>
    <w:p>
      <w:r>
        <w:rPr>
          <w:b/>
        </w:rPr>
        <w:t>E. 2.2</w:t>
      </w:r>
    </w:p>
    <w:p>
      <w:r>
        <w:t>En l'espèce, le recourant a eu la possibilité de faire valoir ses arguments à plusieurs reprises dans le cadre du recours et de produire tout moyen de preuve utile en annexe de ses écritures. Il n'explique pas en quoi son audition permettrait d'ajouter des éléments décisifs qu'il ne pourrait apporter par écrit. La chambre de céans estime que le dossier contient les éléments suffisants et nécessaires pour statuer sur le litige. Partant, il ne sera pas donné suite à la demande d'acte d'instruction.</w:t>
      </w:r>
    </w:p>
    <w:p>
      <w:r>
        <w:rPr>
          <w:b/>
        </w:rPr>
        <w:t>E. 3</w:t>
      </w:r>
    </w:p>
    <w:p>
      <w:r>
        <w:t>Est litigieuse la non-entrée en matière de l’OCPM sur la demande de reconsidération du recourant.</w:t>
      </w:r>
    </w:p>
    <w:p>
      <w:r>
        <w:rPr>
          <w:b/>
        </w:rPr>
        <w:t>E. 3.1</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ATA/512/2024 du 23 avril 2024 consid 3.1 ; ATA/651/2023 du 20 juin 2023 consid. 4.1). Sont « nouveaux », au sens de cette disposition, les faits qui, survenus à un moment où ils pouvaient encore être allégués dans la procédure principale, n'étaient (objectivement) pas connus du requérant malgré toute sa diligence (ATF 134 III 669 consid. 2.2 ; 134 IV 48 consid. 1.2 ; ATA/111/2025 du 28 janvier 2025 consid. 3 ; ATA/1276/2024 du 30 octobre 2024 consid. 3.1).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ATA/512/2024 précité consid 3.1 ; ATA/757/2023 du 11 juillet 2023 consid. 3.1).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ATA/512/2024 précité consid. 3.2 ; ATA/651/2023 précité consid. 4.1 in fine).</w:t>
      </w:r>
    </w:p>
    <w:p>
      <w:r>
        <w:rPr>
          <w:b/>
        </w:rPr>
        <w:t>E. 3.2</w:t>
      </w:r>
    </w:p>
    <w:p>
      <w:r>
        <w:t>Une demande de reconsidération ne doit pas permettre de remettre continuellement en cause des décisions entrées en force et d'éluder les dispositions légales sur les délais de recours (ATF 136 II 177 consid. 2.1).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 Thierry TANQUEREL, Manuel de droit administratif, 2 e éd., 2018, n. 1417). En droit des étrangers, le résultat est identique que l'on parle de demande de réexamen ou de nouvelle demande d'autorisation : l'autorité administrative, laquelle se base sur l'état de fait actuel et traiterait une requête comme une nouvelle demande, n'octroiera pas une autorisation de séjour dans un cas où elle l'a refusée auparavant si la situation n'a pas changé ; si la situation a changé, les conditions posées au réexamen seront en principe remplies (arrêt du Tribunal fédéral 2C_715/2011 du 2 mai 2012 consid. 4.2 ; ATA/512/2024 précité consid. 3.3).</w:t>
      </w:r>
    </w:p>
    <w:p>
      <w:r>
        <w:rPr>
          <w:b/>
        </w:rPr>
        <w:t>E. 3.3</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 instruction, il s'agira alors d'une nouvelle décision sur le fond, susceptible de recours. Dans cette hypothèse, le litige a pour objet la décision sur réexamen et non la décision initiale (arrêts du Tribunal fédéral 2C_319/2015 du 10 septembre 2015 consid. 3 ; 2C_406/2013 du 23 septembre 2013 consid. 4.1).</w:t>
      </w:r>
    </w:p>
    <w:p>
      <w:r>
        <w:rPr>
          <w:b/>
        </w:rPr>
        <w:t>E. 3.4</w:t>
      </w:r>
    </w:p>
    <w:p>
      <w:r>
        <w:t>Bien que l'écoulement du temps et la poursuite d'une intégration socioprofessionnelle constituent des modifications de circonstances, ces éléments ne peuvent pas être qualifiés de notables au sens de l'art. 48 al. 1 let. b LPA lorsqu'ils résultent uniquement du fait que l'étranger ne s'est pas conformé à une décision initiale malgré son entrée en force ( ATA/115/2025 du 28 janvier 2025 consid. 2.4 ; ATA/585/2024 du 14 mai 2024 consid. 3.1).</w:t>
      </w:r>
    </w:p>
    <w:p>
      <w:r>
        <w:rPr>
          <w:b/>
        </w:rPr>
        <w:t>E. 3.5</w:t>
      </w:r>
    </w:p>
    <w:p>
      <w:r>
        <w:t>En l'espèce, il sera uniquement examiné si les conditions d’une reconsidération sont réunies, l’OCPM ayant refusé d’entrer en matière sur la demande de reconsidération. Les seuls éléments invoqués par le recourant sont la naissance d’un deuxième enfant et la poursuite de l’intégration de la famille en Suisse. Ils ne sauraient être qualifiés de modification notable des circonstances, dès lors qu'ils résultent uniquement de l’écoulement du temps et du fait que le recourant est demeuré en Suisse depuis le prononcé de la décision de refus du 21 octobre 2022, entrée en force, après avoir été confirmé par le TAPI, la chambre administrative puis le Tribunal fédéral, en dernier lieu le 7 février 2024. À l'instar du TAPI, on relèvera à toutes fins utiles que la situation de la famille a également été examinée par ces deux premières juridictions, dans le cadre de la procédure ouverte à la suite du recours de C______, la dernière fois le 12 mars 2024 ( ATA/369/2024 ). C’est ainsi de manière conforme à la loi et sans abus de son pouvoir d’appréciation que l’OCPM a refusé d’entrer en matière sur la demande de reconsidération. Le présent arrêt rend également sans objet la demande de mesures provisionnelles.</w:t>
      </w:r>
    </w:p>
    <w:p>
      <w:r>
        <w:rPr>
          <w:b/>
        </w:rPr>
        <w:t>E. 4</w:t>
      </w:r>
    </w:p>
    <w:p>
      <w:r>
        <w:t>Vu l’issue du litige, un émolument de CHF 400.-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