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A/540/2011 vom 28. April 2011</w:t>
      </w:r>
    </w:p>
    <w:p>
      <w:r>
        <w:t>GE Cour de justice, 2011-04-28, FR</w:t>
      </w:r>
    </w:p>
    <w:p>
      <w:r>
        <w:rPr>
          <w:b/>
        </w:rPr>
        <w:t xml:space="preserve">Quelle: </w:t>
      </w:r>
      <w:r>
        <w:t>https://mcp.opencaselaw.ch/entscheid/ge_gerichte_A_540_2011</w:t>
      </w:r>
    </w:p>
    <w:p>
      <w:r>
        <w:t>FR: GE_GERICHTE A/540/2011 du 28 avril 2011</w:t>
      </w:r>
    </w:p>
    <w:p>
      <w:r>
        <w:t>IT: GE_GERICHTE A/540/2011 del 28 aprile 2011</w:t>
      </w:r>
    </w:p>
    <w:p>
      <w:pPr>
        <w:pStyle w:val="Heading2"/>
      </w:pPr>
      <w:r>
        <w:t>Erwägungen</w:t>
      </w:r>
    </w:p>
    <w:p>
      <w:r>
        <w:rPr>
          <w:b/>
        </w:rPr>
        <w:t>E. 3</w:t>
      </w:r>
    </w:p>
    <w:p>
      <w:r>
        <w:t>ème Chambre En la cause Monsieur D__________, domicilié au Petit-Lancy Madame D__________, domiciliée c/o Mme E__________, au Petit-Lancy demandeurs contre FONDATION DE LIBRE PASSAGE DE LA BANQUE MIGROS, MIGROS BANK AG, sise Postfach, 8010 Zürich-Mülligen FONDATION INSTITUTION SUPPLETIVE, administration des comptes de libre passage, case postale 8468, 8036 Zurich défenderesses EN FAIT Par jugement du 23 décembre 2010, la 10ème chambre du Tribunal de première instance a prononcé le divorce de Madame D__________, née F__________ en 1966, et Monsieur D__________, né en 1961, lesquels s'étaient mariés en date du 12 septembre 1996. Au chiffre 12 du dispositif du jugement précité, le Tribunal de première instance a ordonné le partage par moitié des seuls avoirs de prévoyance professionnelle acquis par le demandeur durant le mariage. Le jugement de divorce, devenu définitif le 3 février 2011, a été transmis d'office à la Cour de céans pour exécution du partage. La Cour de céans a sollicité du demandeur le(s) nom(s) de son (ses) institution(s) de prévoyance, puis a interpellé les institutions défenderesses en les priant de lui communiquer les montants des avoirs LPP des parties acquis durant le mariage, soit entre le 12 septembre 1996 et le 3 février 2011. S'agissant du demandeur, il est apparu, après consultation du rassemblement de ses comptes individuels : - qu'au moment du mariage et jusqu'en décembre 2001, il a été affilié à PAX SOCIÉTÉ SUISSE D'ASSURANCE SUR LA VIE SA et avait accumulé, au moment du mariage, un avoir de 17'636 fr. 30, représentant, au moment de l'entrée du divorce et compte tenu des intérêts courus durant le mariage, la somme de 27'498 fr. 85 (cf. annexes au courrier du 17 mars 2011 de la CAISSE DE PENSION CHOPARD); - que son avoir a été transmis à la CAISSE DE PENSION CHOPARD, à laquelle il a ensuite été affilié jusqu'au 31 mai 2009 (cf. courrier de la caisse du 17 mars 2011) et qui a transmis à son tour son avoir à la FONDATION DE LIBRE PASSAGE DE LA BANQUE MIGROS; que cet avoir s'élevait, en date du 3 février 2011, à 144'603 fr. 95 (cf. courrier de la fondation du 29 mars 2010 [recte : 2011]).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des seuls avoirs du demandeur. Les dates pertinentes sont, d’une part, le 12 septembre 1996, date du mariage, d’autre part le 3 février 2011, date à laquelle le jugement de divorce est devenu exécutoire. Selon les documents produits, la prestation acquise pendant le mariage par le demandeur s'élève à 117'105 fr. 10 (144'603.95 - 27'498.85), les intérêts ayant déjà été calculés par les institutions de prévoyance défenderesses. Ainsi le demandeur doit à son ex-épouse le montant de 58'552 fr. 55 (117'105.10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DE LIBRE PASSAGE DE LA BANQUE MIGROS à transférer, du compte de Monsieur D__________, la somme de 58'552 fr. 55 ainsi que des intérêts compensatoires au sens des considérants, dès le 4 février 2011 jusqu'au moment du transfert, sur un compte à ouvrir auprès de l'Institution de prévoyance supplétive en faveur de Madame D__________, née F__________.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