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A/540/2007 vom 11. Januar 2007</w:t>
      </w:r>
    </w:p>
    <w:p>
      <w:r>
        <w:t>GE Cour de justice, 2007-01-11, FR</w:t>
      </w:r>
    </w:p>
    <w:p>
      <w:r>
        <w:rPr>
          <w:b/>
        </w:rPr>
        <w:t xml:space="preserve">Quelle: </w:t>
      </w:r>
      <w:r>
        <w:t>https://mcp.opencaselaw.ch/entscheid/ge_gerichte_A_540_2007</w:t>
      </w:r>
    </w:p>
    <w:p>
      <w:r>
        <w:t>FR: GE_GERICHTE A/540/2007 du 11 janvier 2007</w:t>
      </w:r>
    </w:p>
    <w:p>
      <w:r>
        <w:t>IT: GE_GERICHTE A/540/2007 del 11 gennaio 2007</w:t>
      </w:r>
    </w:p>
    <w:p>
      <w:pPr>
        <w:pStyle w:val="Heading2"/>
      </w:pPr>
      <w:r>
        <w:t>Erwägungen</w:t>
      </w:r>
    </w:p>
    <w:p>
      <w:r>
        <w:rPr>
          <w:b/>
        </w:rPr>
        <w:t>E. 6</w:t>
      </w:r>
    </w:p>
    <w:p>
      <w:r>
        <w:t>Le tribunal de céans constate que l'intéressé a dépassé la limite de vitesse précitée et que la décision de lui retirer son permis pour une durée d'un mois était bien fondée, malgré les bons antécédents invoqués par le recourant, qui ne sont par ailleurs pas contestés.</w:t>
      </w:r>
    </w:p>
    <w:p>
      <w:r>
        <w:rPr>
          <w:b/>
        </w:rPr>
        <w:t>E. 7</w:t>
      </w:r>
    </w:p>
    <w:p>
      <w:r>
        <w:t>Au vu de ce qui précède, le recours sera rejeté, un émolument de CHF 400.- étant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