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A/537/2012 vom 30. Juli 2013</w:t>
      </w:r>
    </w:p>
    <w:p>
      <w:r>
        <w:t>GE Cour de justice, 2013-07-30, FR</w:t>
      </w:r>
    </w:p>
    <w:p>
      <w:r>
        <w:rPr>
          <w:b/>
        </w:rPr>
        <w:t xml:space="preserve">Quelle: </w:t>
      </w:r>
      <w:r>
        <w:t>https://mcp.opencaselaw.ch/entscheid/ge_gerichte_A_537_2012</w:t>
      </w:r>
    </w:p>
    <w:p>
      <w:r>
        <w:t>FR: GE_GERICHTE A/537/2012 du 30 juillet 2013</w:t>
      </w:r>
    </w:p>
    <w:p>
      <w:r>
        <w:t>IT: GE_GERICHTE A/537/2012 del 30 luglio 2013</w:t>
      </w:r>
    </w:p>
    <w:p>
      <w:pPr>
        <w:pStyle w:val="Heading2"/>
      </w:pPr>
      <w:r>
        <w:t>Erwägungen</w:t>
      </w:r>
    </w:p>
    <w:p>
      <w:r>
        <w:rPr>
          <w:b/>
        </w:rPr>
        <w:t>E. 7</w:t>
      </w:r>
    </w:p>
    <w:p>
      <w:r>
        <w:t>En l’espèce, la quotité des amendes infligées au contribuable correspond aux montants de l’IFD et de l’ICC qui ont été éludés, l’infraction ayant été commise par intention, à tout le moins par dol éventuel, aucune circonstance atténuante n’étant réalisée ( ATA/343/2013 du 4 juin 2013). Partant, les bordereaux de rappel d'ICC et d'IFD 2008, établis en application respectivement des art. 59 LPFisc et 151 al. l LIFD, de même teneur, étaient parfaitement exacts comme indiqué ci-dessus.</w:t>
      </w:r>
    </w:p>
    <w:p>
      <w:r>
        <w:rPr>
          <w:b/>
        </w:rPr>
        <w:t>E. 8</w:t>
      </w:r>
    </w:p>
    <w:p>
      <w:r>
        <w:t>En conséquence, le recours de l'AFC-GE sera admis, le jugement du TAPI annulé et les décisions sur réclamation du 10 janvier 2012 ainsi que les bordereaux de rappel d'impôts et d'amendes rétablis. Vu l'issue du litige, un émolument de CHF 1'000.- sera mis à la charge de M. L______. Dans la mesure où la recourante a conclu à l'annulation du jugement du TAPI du 29 octobre 2012, il se justifie d'annuler également l'indemnité de procédure de CHF 1'000.- qui avait été allouée par celui-ci à M. L______, à charge de l'Etat de Genève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