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A/533/2025 vom 23. Oktober 2025</w:t>
      </w:r>
    </w:p>
    <w:p>
      <w:r>
        <w:t>GE Cour de justice, 2025-10-23, FR</w:t>
      </w:r>
    </w:p>
    <w:p>
      <w:r>
        <w:rPr>
          <w:b/>
        </w:rPr>
        <w:t xml:space="preserve">Quelle: </w:t>
      </w:r>
      <w:r>
        <w:t>https://mcp.opencaselaw.ch/entscheid/ge_gerichte_A_533_2025</w:t>
      </w:r>
    </w:p>
    <w:p>
      <w:r>
        <w:t>FR: GE_GERICHTE A/533/2025 du 23 octobre 2025</w:t>
      </w:r>
    </w:p>
    <w:p>
      <w:r>
        <w:t>IT: GE_GERICHTE A/533/2025 del 23 ottobre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w:t>
      </w:r>
    </w:p>
    <w:p>
      <w:r>
        <w:rPr>
          <w:b/>
        </w:rPr>
        <w:t>E. 1.2</w:t>
      </w:r>
    </w:p>
    <w:p>
      <w:r>
        <w:t>À teneur de l'art. 1 al. 1 LAA, les dispositions de la LPGA s'appliquent à l'assurance-accidents, à moins que la loi n'y déroge expressément.</w:t>
      </w:r>
    </w:p>
    <w:p>
      <w:r>
        <w:rPr>
          <w:b/>
        </w:rPr>
        <w:t>E. 1.3</w:t>
      </w:r>
    </w:p>
    <w:p>
      <w:r>
        <w:t>Selon l’art. 58 al. 2 LPGA,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En l’occurrence, le dernier employeur de l’assuré, soit B______ SA, a son siège dans le Canton de Genève. La compétence de la chambre de céans pour juger du cas d’espèce est ainsi établie.</w:t>
      </w:r>
    </w:p>
    <w:p>
      <w:r>
        <w:rPr>
          <w:b/>
        </w:rPr>
        <w:t>E. 1.4</w:t>
      </w:r>
    </w:p>
    <w:p>
      <w:r>
        <w:t>Le délai de recours est de 30 jours (art. 56 LPGA ; art. 62 al. 1 de la loi sur la procédure administrative du 12 septembre 1985 [LPA - E 5 10]). Interjeté dans la forme et le délai prévus par la loi, le recours est recevable.</w:t>
      </w:r>
    </w:p>
    <w:p>
      <w:r>
        <w:rPr>
          <w:b/>
        </w:rPr>
        <w:t>E. 2</w:t>
      </w:r>
    </w:p>
    <w:p>
      <w:r>
        <w:t>Le litige porte sur le bien-fondé de la décision sur opposition de la SUVA refusant la poursuite des prestations en faveur de l’assuré, au-delà du 1 er octobre 2024.</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 129 V 402 consid. 2.1). La notion d'accident se décompose ainsi en cinq éléments ou conditions, qui doivent être cumulativement réalisés : une atteinte dommageable, le caractère soudain de l'atteinte, le caractère involontaire de l'atteinte, le facteur extérieur de l'atteinte et, enfin, le caractère extraordinaire du facteur extérieur ; il suffit que l'un d'entre eux fasse défaut pour que l'événement ne puisse pas être qualifié d'accident (ATF 142 V 219 consid. 4.3.1 ; 129 V 402 consid. 2.1 et les références).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w:t>
      </w:r>
    </w:p>
    <w:p>
      <w:r>
        <w:rPr>
          <w:b/>
        </w:rPr>
        <w:t>E. 3.2</w:t>
      </w:r>
    </w:p>
    <w:p>
      <w:r>
        <w:t>Selon la jurisprudence, fixer le délai du retour au statu quo sine en se référant à l'évolution prévisible de l'atteinte à la santé d'une manière abstraite et théorique ne suffit pas pour établir - au degré de la vraisemblance prépondérante - l'extinction du lien de causalité avec l'accident en cause (arrêts du Tribunal fédéral 8C_481/2019 du 7 mai 2020 consid. 3.4 ; 8C_97/2019 du 5 août 2019 consid. 4.3.1. et 4.3.2 ; 8C_473/2017 du 21 février 2018 consid. 5).</w:t>
      </w:r>
    </w:p>
    <w:p>
      <w:r>
        <w:rPr>
          <w:b/>
        </w:rPr>
        <w:t>E. 3.3</w:t>
      </w:r>
    </w:p>
    <w:p>
      <w:r>
        <w:t>Les notions de syndrome douloureux régional complexe (CRPS - Complex regional pain syndrome en anglais ou SDRC en français), algodystrophie ou maladie de Sudeck appartiennent aux maladies neurologiques, orthopédiques et traumatologiques et constituent ainsi une atteinte à la santé physique, respectivement corporelle (arrêt du Tribunal fédéral 8C_234/2023 du 12 décembre 2023 consid. 3.2). Ils désignent, en médecine, un état maladif post-traumatique, qui est causé par un traumatisme bénin, qui se transforme rapidement en des douleurs importantes et individualisées avec des sensations de cuisson, qui s’accompagnent de limitations fonctionnelles de type moteur, trophique ou sensori-moteur. Toute une extrémité ou une grande partie d’une zone du corps est touchée. Les causes peuvent non seulement être une distorsion d’une articulation mais aussi, par exemple, un infarctus. La discordance entre le traumatisme à l’origine, qui peut en réalité être qualifié de bagatelle, et les conséquences est importante. L’étiologie et la pathogenèse de ce syndrome ne sont pas claires. C’est pourquoi, selon la jurisprudence, pour qu’un tel syndrome puisse constituer la conséquence d’un accident, les trois critères suivants doivent être réalisés : a) la preuve d'une lésion physique (comme par exemple un hématome ou une contusion) après un accident ou l'apparition d'une algodystrophie à la suite d'une opération nécessitée par l'accident ; b) l'absence d'un autre facteur causal de nature non traumatique (comme par exemple : état après infarctus du myocarde, après apoplexie, après ou lors de l’ingestion de barbituriques, lors de tumeurs, de grossesses ; etc .) et c) une courte période de latence entre l'accident et l'apparition de l'algodystrophie, soit au maximum six à huit semaines  (arrêts du Tribunal fédéral 8C_871/2010 du 4 octobre 2011 consid. 3.2 ; 8C_384/2009 du 5 janvier 2010 consid. 4.2.1 in SVR 2010 UV n. 18 p. 69). Pour admettre un lien de causalité naturelle, il n'est pas nécessaire que le diagnostic ait été posé dans les six à huit semaines après l’accident ; il est en revanche déterminant que sur la base de constatations médicales effectuées en temps réel, il soit établi que la personne concernée a présenté, au moins partiellement, des symptômes typiques du SDRC durant la période de latence de six à huit semaines après l'accident (arrêt du Tribunal fédéral 8C_331/2024 du 29 novembre 2024 consid. 4.3.2 et les références). La causalité naturelle peut également être admise si le syndrome fait suite à une opération en lien avec l'accident (arrêt du Tribunal fédéral 8C_27/2019 du 20 août 2019 consid. 6.4.2 et les références citées). Pour la validation du diagnostic, il est communément fait référence aux critères dits « de Budapest », qui sont exclusivement cliniques et associent symptômes et signes dans quatre domaines : sensoriels, vasomoteurs, sudomoteurs / œdème, moteurs / trophiques (arrêt du Tribunal fédéral 8C_234/2023 du 12 décembre 2023 consid. 3.2 et la référence).</w:t>
      </w:r>
    </w:p>
    <w:p>
      <w:r>
        <w:rPr>
          <w:b/>
        </w:rPr>
        <w:t>E. 4.1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 cf .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4.2</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 Selon une jurisprudence constante, les médecins d'arrondissement ainsi que les spécialistes du centre de compétence de la médecine des assurances de la CNA sont considérés, de par leur fonction et leur position professionnelle, comme étant des spécialistes en matière de traumatologie, indépendamment de leur spécialisation médicale (arrêt du Tribunal fédéral 8C_626/2021 du 19 janvier 2022 consid. 4.3.1 et les références).</w:t>
      </w:r>
    </w:p>
    <w:p>
      <w:r>
        <w:rPr>
          <w:b/>
        </w:rPr>
        <w:t>E. 4.3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4.4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6.1</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6.2</w:t>
      </w:r>
    </w:p>
    <w:p>
      <w:r>
        <w:t>Dans le contexte de la suppression du droit à des prestations d'assurance sociales, le fardeau de la preuve incombe en principe à l'assureur-accidents ( cf. ATF 146 V 51 consid. 5.1 et les références). Cette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8C_441/2017 du 6 juin 2018 consid. 3.3). À cet égard, est seul décisif le point de savoir si, au degré de la vraisemblance prépondérante (ATF 146 V 271 consid. 4.4), les causes accidentelles d'une atteinte à la santé ne jouent plus aucun rôle, ne serait-ce même que partiel ( cf. ATF 142 V 435 consid. 1), et doivent ainsi être considérées comme ayant disparu (arrêt du Tribunal fédéral 8C_343/2022 du 11 octobre 2022 consid. 3.2 et les références).</w:t>
      </w:r>
    </w:p>
    <w:p>
      <w:r>
        <w:rPr>
          <w:b/>
        </w:rPr>
        <w:t>E. 7.1</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 RAMA 1985 p. 240 consid. 4 ; arrêt du Tribunal fédéral I 751/03 du 19 mars 2004 consid. 3.3).</w:t>
      </w:r>
    </w:p>
    <w:p>
      <w:r>
        <w:rPr>
          <w:b/>
        </w:rPr>
        <w:t>E. 7.2</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8</w:t>
      </w:r>
    </w:p>
    <w:p>
      <w:r>
        <w:t>En l’espèce, l'appréciation des parties diffère sur la stabilisation du cas et la date d’arrêt des prestations de l’intimée ainsi que sur le taux de l’IPAI.</w:t>
      </w:r>
    </w:p>
    <w:p>
      <w:r>
        <w:rPr>
          <w:b/>
        </w:rPr>
        <w:t>E. 8.1</w:t>
      </w:r>
    </w:p>
    <w:p>
      <w:r>
        <w:t>Chacune des parties fonde son argumentation sur des rapports médicaux ; l’intimée considère que l’examen médical effectué par sa médecin-conseil ainsi que les rapports qui s’en sont suivi présentent une pleine valeur probante et doivent être suivi. En dépit d’une modification intervenue au stade de la duplique après avoir pris en compte l’appréciation médicale du Prof. G______ uniquement sur le principe du droit à une IPAI, l’intimée estime que le cas est stabilisé avec effet au 1 er octobre 2024. Le recourant, de son côté, s’appuie sur l’appréciation médicale du Prof. G______ du 30 mai 2025 pour soutenir que le cas n’est pas stabilisé et que l’IPAI doit être fixée à 6%. Dans son appréciation brève du 30 juin 2025 en réponse à l’appréciation médicale du Prof. G______, la médecin-conseil de la SUVA admet que l’existence du SDRC n’a jamais été complètement exclue, mais qu’elle avait conclu, au moment de son examen, aux séquelles d’un SDRC probable, tout en soulignant qu’une dysesthésie pouvait également entrer en ligne de compte. En revanche, la médecin-conseil maintient son appréciation selon laquelle le cas s’est stabilisé en 2023 en relevant qu’il est surprenant que le team orthopédie des HUG continue de suivre le recourant pour une éventuelle désensibilisation car elle considère que cette dernière ne peut plus être efficace, au degré de la vraisemblance prépondérante, après plus de trois ans d’échec. Elle relève également que, depuis juillet 2023, les traitements entrepris n’apportent pas d’amélioration pour les fonctions et la capacité de travail, ce qui est confirmé par la persistance des troubles en 2025, malgré les traitements proposés par les HUG. De son côté, le Prof. G______ observe que la situation n’est pas stabilisée car la raideur douloureuse persiste et un traitement est actuellement en cours, étant précisé qu’il maintient le diagnostic de SDRC chronique froid ou résiduel en citant la littérature scientifique. À cet égard, l’appréciation médicale du 8 janvier 2025 du Prof. F______ va également dans le sens d’une situation médicale qui n’est pas stabilisée. S’agissant du taux de 6% d’IPAI retenu par le Prof. G______, ce dernier considère que l’atteinte à l’intégrité de l’index gauche, en raison du SDRC post-traumatique, doit être assimilée à une amputation fonctionnelle.</w:t>
      </w:r>
    </w:p>
    <w:p>
      <w:r>
        <w:rPr>
          <w:b/>
        </w:rPr>
        <w:t>E. 8.2</w:t>
      </w:r>
    </w:p>
    <w:p>
      <w:r>
        <w:t>S’il est vrai que la médecin-conseil de la SUVA est une spécialiste en matière orthopédique, il n’en reste pas moins que le Prof. G______ est également un spécialiste dans ce domaine. Les conclusions de ce dernier, qui vont à l’encontre de celles de la médecin-conseil, laissent subsister des doutes quant à la fiabilité et la pertinence de l’appréciation de cette dernière, notamment quant au diagnostic de SDRC et à la stabilisation du cas. S’agissant du taux d’indemnité de l’IPAI, les deux médecins ont des appréciations très proches. Il n’en reste pas moins que la chambre de céans n’est pas en mesure de trancher la cause, au degré de la vraisemblance prépondérante, en se fondant sur l'un ou sur l'autre de ces avis médicaux, raison pour laquelle il y a lieu de mettre en œuvre une expertise par un médecin indépendant selon la procédure de l'art. 44 LPGA, afin de déterminer si le cas est stabilisé et si oui à quelle date, quelle est la capacité de travail de l’assuré dans une activité adaptée et quel est le taux applicable pour fixer l’IPAI.</w:t>
      </w:r>
    </w:p>
    <w:p>
      <w:r>
        <w:rPr>
          <w:b/>
        </w:rPr>
        <w:t>E. 9.1</w:t>
      </w:r>
    </w:p>
    <w:p>
      <w:r>
        <w:t>Au vu de ce qui précède, le recours sera partiellement admis, la décision sur opposition du 16 janvier 2025 sera annulée et la cause sera renvoyée à l’intimée pour complément d’instruction et nouvelle décision, au sens des considérants.</w:t>
      </w:r>
    </w:p>
    <w:p>
      <w:r>
        <w:rPr>
          <w:b/>
        </w:rPr>
        <w:t>E. 9.2</w:t>
      </w:r>
    </w:p>
    <w:p>
      <w:r>
        <w:t>Le recourant obtenant partiellement gain de cause, une indemnité de CHF 2'000.- lui sera accordée, à titre de participation à ses frais et dépens (art. 61 let. g LPGA ; art. 6 du règlement sur les frais, émoluments et indemnités en matière administrative du 30 juillet 1986 [RFPA - E 5 10.03]).</w:t>
      </w:r>
    </w:p>
    <w:p>
      <w:r>
        <w:rPr>
          <w:b/>
        </w:rPr>
        <w:t>E. 9.3</w:t>
      </w:r>
    </w:p>
    <w:p>
      <w:r>
        <w:t>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