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A/5260/2007 vom 13. März 2008</w:t>
      </w:r>
    </w:p>
    <w:p>
      <w:r>
        <w:t>GE Cour de justice, 2008-03-13, FR</w:t>
      </w:r>
    </w:p>
    <w:p>
      <w:r>
        <w:rPr>
          <w:b/>
        </w:rPr>
        <w:t xml:space="preserve">Quelle: </w:t>
      </w:r>
      <w:r>
        <w:t>https://mcp.opencaselaw.ch/entscheid/ge_gerichte_A_5260_2007</w:t>
      </w:r>
    </w:p>
    <w:p>
      <w:r>
        <w:t>FR: GE_GERICHTE A/5260/2007 du 13 mars 2008</w:t>
      </w:r>
    </w:p>
    <w:p>
      <w:r>
        <w:t>IT: GE_GERICHTE A/5260/2007 del 13 marzo 2008</w:t>
      </w:r>
    </w:p>
    <w:p>
      <w:pPr>
        <w:pStyle w:val="Heading2"/>
      </w:pPr>
      <w:r>
        <w:t>Regeste</w:t>
      </w:r>
    </w:p>
    <w:p>
      <w:r>
        <w:t>Objet de la plainte. Qualité pour agir. Procédés téméraires. | La qualité pour agir de la plaignante dont la plainte tend à ce que l'Office des poursuites procède à la vérification de l'identité exacte de l'ayant droit économique de l'adjudicataire et de l'origine des fonds est niée. Une amende de 1'500 fr. lui est infligée. | Lp.17; LP.20a.al.2.ch.5</w:t>
      </w:r>
    </w:p>
    <w:p>
      <w:pPr>
        <w:pStyle w:val="Heading2"/>
      </w:pPr>
      <w:r>
        <w:t>Erwägungen</w:t>
      </w:r>
    </w:p>
    <w:p>
      <w:r>
        <w:rPr>
          <w:b/>
        </w:rPr>
        <w:t>E. 1</w:t>
      </w:r>
    </w:p>
    <w:p>
      <w:r>
        <w:t>Selon l’art. 17 al. 1 LP, il peut être porté plainte à l’autorité de surveillance, soit la Commission de céans (art. 56R al. 3 LOJ et 10 al. 1 LaLP), lorsqu’une mesure de l’Office est contraire à la loi ou ne paraît pas justifiée en fait, à moins que la loi ne prescrive la voie judiciaire. La plainte doit être déposée dans les dix jours de celui où le plaignant a eu connaissance de la mesure (art. 17 al. 2 LP). La plainte dirigée contre une mesure de l’Office et adressée à ce dernier doit être transmise à l’autorité de surveillance compétente, le délai de plainte étant réputé observé lorsque la plainte est adressée en temps utile à l’Office (art. 32 al. 2 LP ; ATF 100 III 8 , JdT 1975 II 69 ; Francis Nordmann , in SchKG I, ad art. 32 n° 7). En l'espèce, la plainte A/5260/2007, dirigée contre le courrier de l'Office daté du 5 décembre 2007 dont la plaignante a eu connaissance par télécopie du même jour, a été adressée à l'Office par pli recommandé posté le 17 décembre 2007, soit dans le délai utile, le 15 décembre 2007 étant un samedi (art. 31 al. 3 LP). La plainte A/302/2008, postée le 31 janvier 2008 et dirigée contre l'état de collocation et tableau de distribution qui ont été communiqués à la plaignante par avis du 24 janvier 2008, a également été formée dans le délai légal prescrit.</w:t>
      </w:r>
    </w:p>
    <w:p>
      <w:r>
        <w:rPr>
          <w:b/>
        </w:rPr>
        <w:t>E. 2</w:t>
      </w:r>
    </w:p>
    <w:p>
      <w:r>
        <w:t>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(ATF 116 III 91 consid. 1 ; Nicolas Jeandin , Poursuite pour dettes et faillite. La plainte, FJS n° 679 p. 6 ; Franco Lorandi , Betreibungsrechtliche Beschwerde und Nichtigkeit, Kommentar zu den Artikeln 13-30 SchKG, Bâle-Genève-Munich 2000, ad art. 17 n° 46 ss ; Pierre-Robert Gilliéron , Commentaire, ad art. 17 n° 9 ss ; Flavio Cometta , in SchKG I, ad art. 17 n° 18 ss ; Kurt Amonn / Fridolin Walther , Grundriss, 7 ème éd., Berne 2003, § 6 n° 7 ss) ; aussi, l'art. 21 LP prévoit-il que, lorsque la plainte est reconnue fondée, l'autorité annule ou redresse l'acte qui en fait l'objet.</w:t>
      </w:r>
    </w:p>
    <w:p>
      <w:r>
        <w:rPr>
          <w:b/>
        </w:rPr>
        <w:t>E. 3</w:t>
      </w:r>
    </w:p>
    <w:p>
      <w:r>
        <w:t>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Cet intérêt doit être réel, propre et immédiat, ce qui exclut l’intérêt théorique à la solution d’une question, de même qu’un intérêt purement général, et consiste en l'utilité pratique que l'admission de la plainte apporterait au plaignant, en d'autre termes dans le fait de lui éviter un préjudice de nature économique, idéale, matérielle ou autre que la mesure attaquée lui occasionnerait (ATF 120 III 42 consid. 3, JdT 1996 II 151 ; Flavio Cometta , SchKG I ad art. 17 n° 36 ss ; Pierre-Robert Gilliéron , Commentaire, ad art. 17 n° 140 ss ). 4.a. En l'espèce, la plainte A/5260/2007 est dirigée contre le courrier de l'Office du 5 décembre 2007 informant la plaignante que ses activités ne sont pas soumises à la LBA, partant qu'il ne sera pas donné suite à sa demande de contrôler l'origine et l'ayant droit économique des fonds au moyen desquels a été acquitté le prix d'adjudication de l'objet du gage. Quant à la plainte A/302/2008, elle a pour objet l'état de collocation et le tableau de distribution, contre lesquels la plaignante n'invoque aucun grief mais dont elle demande l'annulation alléguant que si des problèmes devaient apparaître, lors des vérifications qu'il incombe à l'Office de faire sur les questions évoquées dans sa première plainte, c'est l'adjudication elle-même qui pourrait être remise en cause, ce qui rendrait caduc le dépôt de ces actes. 4.b. La question de savoir si le courrier susrappelé et les actes objet de la plainte A/302/2008 -établis et déposés par l'Office qui confirme ainsi ledit courrier à savoir qu'il ne sera pas donné suite aux vérifications requises par la plaignante-, constituent des mesures sujettes à plainte au sens de la jurisprudence rappelée ci-dessus peut rester ouverte. 4.c. L'existence d'un intérêt digne de protection, tel que défini au consid. 3, doit, en effet, être niée. Les vérifications requises, s'il devait être admis qu'elles incombent à l'Office, ne sauraient avoir pour conséquence l'élimination d'un préjudice actuel et concret que la plaignante subirait en l'absence de celles-ci, et qu'au demeurant elle n'invoque même pas. Par ailleurs, même si l'on considère que les plaintes tendent, implicitement, à l'annulation, voire à la nullité de la vente, et à l'organisation de nouvelles enchères qui pourraient conduire à l'adjudication de la parcelle considérée à un prix supérieur permettant de la désintéresser en tout ou en partie, l'intérêt de la plaignante doit être qualifié de purement théorique et éminemment hypothétique, étant observé que le découvert de la créancière gagiste, suite aux enchères du 27 septembre 2007, est de 15'298'245 fr. 50. Il s'ensuit que les plaintes doivent être déclarées irrecevables.</w:t>
      </w:r>
    </w:p>
    <w:p>
      <w:r>
        <w:rPr>
          <w:b/>
        </w:rPr>
        <w:t>E. 5</w:t>
      </w:r>
    </w:p>
    <w:p>
      <w:r>
        <w:t>A titre superfétatoire, la Commission de céans relèvera que, dans son courrier du 12 février 2008 produit par la créancière gagiste, l'administration fédérale des finances, autorité de contrôle en matière de lutte contre le blanchiment d'argent, confirme que les activités des offices des poursuites et des faillites ne sont pas soumises à la LBA et ne tombent pas sous le champ d'application de l'art. 305 ter CP. Cela étant, elle ajoute, " En tout état de cause, cette question demeure cependant à l'entière appréciation du juge pénal ". Il s'ensuit qu'on pourrait admettre, dans des cas particuliers, lorsque notamment des fonds importants sont versés aux offices en espèces, et non par chèque bancaire ou par virement émanant d'un établissement lui-même soumis à la LBA, que ces organes de l'exécution forcée devraient dénoncer les faits aux autorités de poursuite pénale. Cette hypothèse n'est toutefois pas réalisée en l'espèce, le prix de l'adjudication ayant été acquitté en mains de l'Office, pour un premier acompte, par chèque bancaire émanant d'un établissement soumis à la LBA et, pour le solde, par un virement émanant du même établissement.</w:t>
      </w:r>
    </w:p>
    <w:p>
      <w:r>
        <w:rPr>
          <w:b/>
        </w:rPr>
        <w:t>E. 6</w:t>
      </w:r>
    </w:p>
    <w:p>
      <w:r>
        <w:t>La procédure de plainte est gratuite, en ce sens qu’il est en principe statué sans frais ni dépens (art. 20a al. 2 ch. 5 LP ; art. 61 al. 2 let. a et 62 al. 2 OELP). Le principe de la gratuité trouve toutefois sa limite en cas de procédés dilatoires ou téméraires. Aux termes de l’art. 20a al. 2 ch. 5 LP, la partie ou son représentant qui use de procédés téméraires ou de mauvaise foi peut notamment être condamné à une amende de 1'500 fr. au plus. Se comporte de façon téméraire ou de mauvaise foi,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 Commentaire, ad art. 20a n° 19 ; Flavio Cometta , in SchKG I, ad art. 20a n° 11 ; Franco Lorandi , op. cit. ad art. 20a n° 13 ss ; Kurt Amonn / Fridolin Walther , Grundriss, 7 ème éd. 2003, § 13 n° 14). A l’absence de toute chance de succès de la plainte doit s’ajouter le dessein d’agir de manière téméraire (Pauline Erard , in CR-LP, ad art. 20a n° 44 ss). En l'espèce, il ressort des considérants de la présente décision que la plaignante a agi sans avoir d'intérêt digne de protection et à des fins purement dilatoires, soit dans le seul but de tenter de retarder le versement du prix net de l'adjudication du 27 décembre 2007 à la créancière gagiste, soit un montant de quelque 90'000'000 fr., étant rappelé que cette somme a été, conformément aux art. 9 LP et 6 al. 3 LaLP, consignée auprès de la Caisse de consignation de l'Etat et qu'elle n'est porteuse d'intérêt, à hauteur d'un taux de 0,25% qu'à compter du 61 ème jour de consignation (Loi sur la Caisse de consignation de l'Etat du 9 juillet 1917 -D 1.15-, règlement relatif aux taux d'intérêts de ladite caisse pour 2007 -D 1.15.03-). La Commission de céans considère en conséquence que les conditions de la disposition précitée sont réalisées et qu'il se justifie de condamner la plaignante à une amende qui sera fixée à 1'500 fr. * * * * * PAR CES MOTIFS, LA COMMISSION DE SURVEILLANCE SIÉGEANT EN SECTION : Déclare irrecevable les plaintes A/5260/2007 et A/302/2008 formées par L______ SA, respectivement le 17 décembre 20007 et le 31 janvier 2008. Condamne L______ SA à une amende de 1'500 fr. Siégeant : Mme Ariane WEYENETH, présidente ; Mme Florence CASTELLA, et M. Denis MATHEY,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