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A/524/2021 vom 22. Dezember 2021</w:t>
      </w:r>
    </w:p>
    <w:p>
      <w:r>
        <w:t>GE Cour de justice, 2021-12-22, FR</w:t>
      </w:r>
    </w:p>
    <w:p>
      <w:r>
        <w:rPr>
          <w:b/>
        </w:rPr>
        <w:t xml:space="preserve">Quelle: </w:t>
      </w:r>
      <w:r>
        <w:t>https://mcp.opencaselaw.ch/entscheid/ge_gerichte_A_524_2021</w:t>
      </w:r>
    </w:p>
    <w:p>
      <w:r>
        <w:t>FR: GE_GERICHTE A/524/2021 du 22 décembre 2021</w:t>
      </w:r>
    </w:p>
    <w:p>
      <w:r>
        <w:t>IT: GE_GERICHTE A/524/2021 del 22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l’aptitude au placement du recourant dès le 21 juin 2019.</w:t>
      </w:r>
    </w:p>
    <w:p>
      <w:r>
        <w:rPr>
          <w:b/>
        </w:rPr>
        <w:t>E. 4.1</w:t>
      </w:r>
    </w:p>
    <w:p>
      <w:r>
        <w:t>Dès lors que les ressortissants du Kosovo, dont fait partie le recourant, ne tombent pas sous le champ d’application de l’accord du 21 juin 1999 entre la Confédération suisse, d’une part, et la Communauté européenne et ses États membres, d’autre part, sur la libre circulation des personnes (ALCP – RS 0.142.112.681) entré en vigueur le 1 er juin 2002, et que la Convention de sécurité sociale, conclue le 8 juin 2018 entre la Suisse et le Kosovo (RS 0.831.109.763.1) ne concerne pas l’assurance-chômage, le litige doit être examiné exclusivement à la lumière du droit suisse.</w:t>
      </w:r>
    </w:p>
    <w:p>
      <w:r>
        <w:rPr>
          <w:b/>
        </w:rPr>
        <w:t>E. 4.2</w:t>
      </w:r>
    </w:p>
    <w:p>
      <w:r>
        <w:t>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Aux termes de l’art. 13 al. 1 LPGA, le domicile d’une personne est déterminé selon les art. 23 à 26 du code civil suisse du 10 décembre 1907 (CC – RS 210) (al. 1). Une personne est réputée avoir sa résidence habituelle au lieu où elle séjourne un certain temps même si la durée de ce séjour est d’emblée limitée (al. 2).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Boris RUBIN, Commentaire de la loi sur l’assurance-chômage 2014, p. 118 n. 3). Selon l’art. 15 al. 1 LACI, est réputé apte à être placé le chômeur qui est disposé à accepter un travail convenable et à participer à des mesures d’intégration et qui est en mesure et en droit de le faire.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LEtr pour savoir si la personne intéressée peut s’attendre à obtenir une autorisation de travail (ATF 120 V 385 ,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4.3</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132 III 770 consid. 4 et la référence; arrêt du Tribunal fédéral 9C_283/2010 du 17 décembre 2010 consid. 4.2). Une pratique qui se révèle erronée ou dont l’application a conduit à des abus répétés ne peut être maintenue (ATF 124 V 124 consid. 6a ; ATF 124 V 387 consid. 4c; voir aussi ATF 125 II 163 consid. 4c/aa).</w:t>
      </w:r>
    </w:p>
    <w:p>
      <w:r>
        <w:rPr>
          <w:b/>
        </w:rPr>
        <w:t>E. 5</w:t>
      </w:r>
    </w:p>
    <w:p>
      <w:r>
        <w:t>En l’espèce, la décision querellée a été prise après que l’intimé a reçu le courriel l’OCPM du 5 janvier 2021, qui n’était pas clair, voire contradictoire avec celui du 3 juillet 2020. Dans ces circonstances, l’intimé aurait dû prendre contact avec la direction du service juridique de l’OCPM pour éclaircir la situation. Au vu des déclarations de la directrice de ce service à la chambre de céans, il apparaît que le service concerné de l’OCPM avait changé de pratique pendant la période en cause pour des motifs qui n’étaient ni sérieux ni objectifs. Il serait par conséquent contraire au principe de la bonne foi de confirmer la décision querellée, qui est fondée sur cette nouvelle pratique, alors que selon la pratique précédente de l’OCPM, qui était constante et qui a été reprise depuis février 2021, le service concerné aurait répondu à l’intimé que le recourant pourrait obtenir l’autorisation de travailler s’il trouvait un emploi.</w:t>
      </w:r>
    </w:p>
    <w:p>
      <w:r>
        <w:rPr>
          <w:b/>
        </w:rPr>
        <w:t>E. 6</w:t>
      </w:r>
    </w:p>
    <w:p>
      <w:r>
        <w:t>En conséquence, le recours sera admis et la décision querellée annulée. Le recourant obtenant ainsi gain de cause et étant assisté d’un conseil, il a droit à des dépens qui seront fixés à CHF 2'000.- et mis à la charge de l’intimé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