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A/522/2023 vom 7. November 2023</w:t>
      </w:r>
    </w:p>
    <w:p>
      <w:r>
        <w:t>GE Cour de justice, 2023-11-07, FR</w:t>
      </w:r>
    </w:p>
    <w:p>
      <w:r>
        <w:rPr>
          <w:b/>
        </w:rPr>
        <w:t xml:space="preserve">Quelle: </w:t>
      </w:r>
      <w:r>
        <w:t>https://mcp.opencaselaw.ch/entscheid/ge_gerichte_A_522_2023</w:t>
      </w:r>
    </w:p>
    <w:p>
      <w:r>
        <w:t>FR: GE_GERICHTE A/522/2023 du 7 novembre 2023</w:t>
      </w:r>
    </w:p>
    <w:p>
      <w:r>
        <w:t>IT: GE_GERICHTE A/522/2023 del 7 novembre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[LPA-GE - E 5 10]).![endif]&gt;![if&gt;</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vigueur.![endif]&gt;![if&gt;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à l’échéance d’une période de six mois à compter de la date à laquelle l’assuré a fait valoir son droit aux prestations par le dépôt le 6 avril 2022 de sa nouvelle demande AI (cf. art. 29 al. 1 LAI), de sorte que les dispositions légales applicables seront citées dans leur nouvelle teneur.</w:t>
      </w:r>
    </w:p>
    <w:p>
      <w:r>
        <w:rPr>
          <w:b/>
        </w:rPr>
        <w:t>E. 4</w:t>
      </w:r>
    </w:p>
    <w:p>
      <w:r>
        <w:t>![endif]&gt;![if&gt;</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arrêts du Tribunal fédéral 9C_748/2013 du 10 février 2014 consid. 4.3 et I 716/2003 du 9 août 2004 consid. 4.1). Les conditions d'entrée en matière prévues par l'art. 87 al. 2 et 3 RAI ont pour but de restreindre la possibilité de présenter de manière répétée des demandes de rente identiques (ATF 133 V 108 consid. 5.3.1).</w:t>
      </w:r>
    </w:p>
    <w:p>
      <w:r>
        <w:rPr>
          <w:b/>
        </w:rPr>
        <w:t>E. 4.2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2.2).![endif]&gt;![if&gt;</w:t>
      </w:r>
    </w:p>
    <w:p>
      <w:r>
        <w:rPr>
          <w:b/>
        </w:rPr>
        <w:t>E. 4.3</w:t>
      </w:r>
    </w:p>
    <w:p>
      <w:r>
        <w:t>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 ATF 130 V 71 consid. 3.2 ; arrêt du Tribunal fédéral 9C_754/2013 du 16 avril 2014 consid. 2.1). Dans le domaine de l’AI, une modification peu importante de l'état de fait déterminant, en particulier du degré d’invalidité, peut donner lieu à une révision de la rente, dans la mesure où elle justifie le passage à un échelon de rente différent (ATF 133 V 545 consid. 6).![endif]&gt;![if&gt;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117 V 198 consid. 4b). Une appréciation différente d'une situation demeurée inchangée pour l'essentiel ne constitue pas un motif de révision (arrêts du Tribunal fédéral 9C_717/2012 du 18 mars 2013 consid. 3.3 et I 491/2003 du 20 novembre 2003 consid. 2.2 in fine et les références).</w:t>
      </w:r>
    </w:p>
    <w:p>
      <w:r>
        <w:rPr>
          <w:b/>
        </w:rPr>
        <w:t>E. 5</w:t>
      </w:r>
    </w:p>
    <w:p>
      <w:r>
        <w:t>Dans le cas présent, on comprend, à la lecture de l’écriture de recours de l’intéressé, qu’il conclut – à tout le moins implicitement – à la reconnaissance d’un degré d’invalidité ouvrant le droit à une rente et/ou des mesures professionnelles de l’AI, et donc, implicitement, à l’octroi de telles prestations.![endif]&gt;![if&gt; L’OAI, par projet de décision du 6 septembre 2022, a dans un premier temps envisagé de ne pas entrer en matière sur la nouvelle demande AI, en application de l’art. 87 al. 3 RAI, mais, après réception des rapports médicaux des 7 et 12 octobre 2022, il est entré en matière sur cette nouvelle demande, puisqu’il l’a rejetée par la décision du 18 janvier 2023 querellée. Ce même s’il a continué à se prononcer sur le caractère plausible ou non d’une modification notable de l’état de santé de l’assuré depuis la décision du 14 octobre 2010, le terme « plausible » semblant se référer à l’art. 87 al. 2 et 3 RAI. L’intimé devait donc examiner la cause sur le fond et déterminer si une modification importante du degré d'invalidité de l'assuré avait effectivement eu lieu et, si tel était le cas, si celui-ci avait droit à des prestations (rente et/ou mesures professionnelles) de l’AI. Ces questions, objet du présent litige, doivent être examinées sur recours par la chambre de céans.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6</w:t>
      </w:r>
    </w:p>
    <w:p>
      <w:r>
        <w:t>![endif]&gt;![if&gt;</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Seules les conséquences de l'atteinte à la santé sont prises en compte pour juger de la présence d'une incapacité de gain. De plus, il n'y a incapacité de gain que si celle-ci n'est pas objectivement surmontable (al. 2, en vigueur dès le 1 er janvier 2008).![endif]&gt;![if&gt;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6.2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1).![endif]&gt;![if&gt;</w:t>
      </w:r>
    </w:p>
    <w:p>
      <w:r>
        <w:rPr>
          <w:b/>
        </w:rPr>
        <w:t>E. 6.3</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L'al. 1bis dudit art. 28 LAI – en vigueur depuis le 1 er janvier 2022 – dispose qu'une rente au sens de l’al. 1 n’est pas octroyée tant que toutes les possibilités de réadaptation au sens de l’art. 8 al. 1bis et 1ter LAI n’ont pas été épuisées.![endif]&gt;![if&gt; Selon l'art. 28b LAI - entré en vigueur le 1 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tableau, avec un taux d'invalidité d'au minimum 40% donnant droit à une rente - la plus basse - de 25%, jusqu'à un taux d'invalidité de 49% donnant droit à une rente de 47,5% (al. 4).</w:t>
      </w:r>
    </w:p>
    <w:p>
      <w:r>
        <w:rPr>
          <w:b/>
        </w:rPr>
        <w:t>E. 7</w:t>
      </w:r>
    </w:p>
    <w:p>
      <w:r>
        <w:t>![endif]&gt;![if&gt;</w:t>
      </w:r>
    </w:p>
    <w:p>
      <w:r>
        <w:rPr>
          <w:b/>
        </w:rPr>
        <w:t>E. 7.1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ATF 125 V 256 consid. 4 et les références). En outre, les données médicales constituent un élément utile pour déterminer quels travaux on peut encore, raisonnablement, exiger de l'assuré (ATF 125 V 256 consid. 4 et les références).![endif]&gt;![if&gt;</w:t>
      </w:r>
    </w:p>
    <w:p>
      <w:r>
        <w:rPr>
          <w:b/>
        </w:rPr>
        <w:t>E. 7.1.1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w:t>
      </w:r>
    </w:p>
    <w:p>
      <w:r>
        <w:rPr>
          <w:b/>
        </w:rPr>
        <w:t>E. 7.1.2</w:t>
      </w:r>
    </w:p>
    <w:p>
      <w:r>
        <w:t>Sans remettre en cause le principe de la libre appréciation des preuves, le Tribunal fédéral des assurances a posé des lignes directrices en ce qui concerne la manière d'apprécier certains types d'expertises ou de rapports médicaux.![endif]&gt;![if&gt;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7.3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8</w:t>
      </w:r>
    </w:p>
    <w:p>
      <w:r>
        <w:t>![endif]&gt;![if&gt;</w:t>
      </w:r>
    </w:p>
    <w:p>
      <w:r>
        <w:rPr>
          <w:b/>
        </w:rPr>
        <w:t>E. 8.1</w:t>
      </w:r>
    </w:p>
    <w:p>
      <w:r>
        <w:t>En l’espèce, au jour du prononcé de la décision attaquée, le 18 janvier 2023, aucune incapacité de travail n’était attestée par un ou des médecins, de sorte qu’à cette date-là, aucune modification importante des circonstances n’était établie au degré de la vraisemblance prépondérante.![endif]&gt;![if&gt;</w:t>
      </w:r>
    </w:p>
    <w:p>
      <w:r>
        <w:rPr>
          <w:b/>
        </w:rPr>
        <w:t>E. 8.2</w:t>
      </w:r>
    </w:p>
    <w:p>
      <w:r>
        <w:t>Le questionnaire AI rempli le 17 février 2023 par le Dr C______ diffère grandement du premier qu’il a complété, le 19 décembre 2022, puisque ce médecin atteste désormais une incapacité de travail de 30% ainsi qu’une limitation fonctionnelle (« effort physique très modéré »), ce – en partie à tout le moins – pour la même période que celle prise en considération dans le premier questionnaire. La mention, dans ce second questionnaire, d’une « stabilité de l’état de santé » avec la « poursuite du traitement endoscopique nécessaire » ne paraît pas en soi problématique par rapport au premier questionnaire, puisque ledit médecin spécialiste semble prima facie avoir substantiellement modifié son point de vue initial. Ladite période prise en compte, allant du 3 mars 2022 au 23 janvier 2023 selon le deuxième questionnaire, correspond pour l’essentiel à la situation antérieure à la date du prononcé de la décision litigieuse.![endif]&gt;![if&gt; Ce revirement dans les appréciations du Dr C______ n’est en l’état pas compréhensible, ni ne repose sur une motivation suffisante, comme considéré par le SMR et l’intimé. Au surplus, même indépendamment de ce revirement, les réponses du Dr C______ dans le deuxième questionnaire AI rempli, très succinctes, ne sont pas motivées de manière suffisamment approfondie pour se voir éventuellement reconnaître une pleine valeur probante. De surcroît, dans ledit questionnaire AI rempli le 17 février 2023, il est en l’état incompréhensible que le Dr C______ atteste une incapacité de travail de 30% tout en indiquant que 4 heures de travail par jour peuvent raisonnablement être attendues dans l’activité exercée jusqu’ici, un tel horaire étant plutôt proche d’un 50% par rapport à un taux d’occupation de 100% qui suppose en principe au moins 8 heures de travail par jour. Il n’est pas non plus clair pour quels motifs il y aurait une incapacité de travail et une limitation fonctionnelle (« effort physique très modéré »), au demeurant formulée de manière très imprécise, alors qu’en même temps il n’y aurait « pas de limitation pour l’accomplissement des tâches ménagères personnelles ». Il n’en demeure pas moins que, vu ce questionnaire AI rempli le 17 février 2023, on ne peut en l’état pas exclure, ni d’ailleurs admettre, qu’il y ait une modification importante des circonstances, ni que le recourant subisse réellement une incapacité de travail et des limitations fonctionnelles pour raisons médicales.</w:t>
      </w:r>
    </w:p>
    <w:p>
      <w:r>
        <w:rPr>
          <w:b/>
        </w:rPr>
        <w:t>E. 8.3</w:t>
      </w:r>
    </w:p>
    <w:p>
      <w:r>
        <w:t>Dans ces circonstances, le dossier apparaît désormais très insuffisamment instruit, sans que cela soit dû à des manquements de la part de l’intimé.![endif]&gt;![if&gt; Il convient dès lors d’admettre partiellement le recours, d’annuler la décision querellée et de renvoyer la cause à l’OAI afin qu’il procède à une instruction complémentaire puis rende une nouvelle décision. Cette instruction complémentaire comprendra toutes les mesures nécessaires, et elle portera, notamment, sur les points qui suivent. Il appartiendra à l’office de requérir du service HUG, en particulier du Dr C______, un rapport motivé de manière précise et approfondie notamment quant à l’état de santé de l’intéressé, ses effets sur sa capacité de travail et l’activité adaptée exigible, quant aux motifs de son revirement entre le questionnaire rempli le 19 décembre 2022 et celui complété le 17 février 2023, de même que relativement à toutes questions pertinentes, y compris les interrogations du SMR exposées dans son avis du 30 mars 2023 (entre autres absence de compréhension du risque de somnolence, qui n’est du reste pas mentionné comme limitation fonctionnelle par le Dr C______). En outre, dans la mesure notamment où le Dr C______ fait état, dans le deuxième questionnaire, d’une « asthénie liée à la maladie somatique et douleurs chroniques », il y aura lieu d’investiguer le cas au plan psychiatrique et, dans un premier temps à tout le moins, de requérir de la CAAP Arve également un rapport circonstancié ou des réponses à un questionnaire AI comme celui rempli le 17 février 2023 par le Dr C______. Dans le même sens, un tel rapport ou de telles réponses devront aussi être demandées à l’autre service intervenant dans le traitement, à savoir le « hépato virologie HUG » selon le questionnaire rempli le 17 février 2023. Si besoin, une expertise médicale portant sur tous les points pertinents sera mise en œuvre. Par ailleurs, il incombera à l’intimé d’investiguer la situation du recourant au plan professionnel et économique (sous l’angle notamment de l’art. 16 LPGA), le dossier apparaissant pour l’instant insuffisamment instruit sur ce point, étant donné, notamment, qu’il n’en ressort pas clairement et précisément quelles professions l’assuré a exercé entre octobre 2010 et mars 2022, ni à quel taux. À cet égard, l’extrait du compte individuel AVS (CI) de l’intéressé montre quelques emplois entre 2010 et 2015 et indique ensuite uniquement « personne sans activité lucrative ». Au surplus, le document « Mandat SMR – Révision » rédigé le 12 octobre 2022 par l’OAI semble retenir le statut d’actif, avec une activité habituelle exercée à 100%, mais on ignore quelle était cette activité habituelle, cette dernière pouvant être en début 2022 différente de celle existant en 2008-2010 ; cette question devra aussi être clarifiée. Cette instruction complémentaire portera non seulement sur la période passée, compte tenu notamment des art. 28 al. 1 let. b et 29 al. 1 LAI, mais également sur la période comprise jusqu'au prononcé de la nouvelle décision qui sera rendue. Il conviendra en parallèle de clarifier si l’assuré sollicite l’octroi d’une rente ou de mesures professionnelles ou ces deux prestations, voire quelles mesures professionnelles précisément.</w:t>
      </w:r>
    </w:p>
    <w:p>
      <w:r>
        <w:rPr>
          <w:b/>
        </w:rPr>
        <w:t>E. 9</w:t>
      </w:r>
    </w:p>
    <w:p>
      <w:r>
        <w:t>Le recourant, qui obtient partiellement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10.03]).![endif]&gt;![if&gt; Vu les circonstances particulières, il sera renoncé à la perception d'un émolument à la charge de l’intimé (cf.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