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A/522/2007 vom 12. Januar 2007</w:t>
      </w:r>
    </w:p>
    <w:p>
      <w:r>
        <w:t>GE Cour de justice, 2007-01-12, FR</w:t>
      </w:r>
    </w:p>
    <w:p>
      <w:r>
        <w:rPr>
          <w:b/>
        </w:rPr>
        <w:t xml:space="preserve">Quelle: </w:t>
      </w:r>
      <w:r>
        <w:t>https://mcp.opencaselaw.ch/entscheid/ge_gerichte_A_522_2007</w:t>
      </w:r>
    </w:p>
    <w:p>
      <w:r>
        <w:t>FR: GE_GERICHTE A/522/2007 du 12 janvier 2007</w:t>
      </w:r>
    </w:p>
    <w:p>
      <w:r>
        <w:t>IT: GE_GERICHTE A/522/2007 del 12 gennaio 2007</w:t>
      </w:r>
    </w:p>
    <w:p>
      <w:pPr>
        <w:pStyle w:val="Heading2"/>
      </w:pPr>
      <w:r>
        <w:t>Erwägungen</w:t>
      </w:r>
    </w:p>
    <w:p>
      <w:r>
        <w:rPr>
          <w:b/>
        </w:rPr>
        <w:t>E. 1</w:t>
      </w:r>
    </w:p>
    <w:p>
      <w:r>
        <w:t>Anamnèse</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w:t>
      </w:r>
    </w:p>
    <w:p>
      <w:r>
        <w:rPr>
          <w:b/>
        </w:rPr>
        <w:t>E. 7</w:t>
      </w:r>
    </w:p>
    <w:p>
      <w:r>
        <w:t>Dans quelle mesure une activité lucrative adaptée est-elle raisonnablement exigible du recourant, et dans ce cas dans quel domaine ?</w:t>
      </w:r>
    </w:p>
    <w:p>
      <w:r>
        <w:rPr>
          <w:b/>
        </w:rPr>
        <w:t>E. 8</w:t>
      </w:r>
    </w:p>
    <w:p>
      <w:r>
        <w:t>Évaluer les chances de succès d’une réadaptation professionnelle</w:t>
      </w:r>
    </w:p>
    <w:p>
      <w:r>
        <w:rPr>
          <w:b/>
        </w:rPr>
        <w:t>E. 9</w:t>
      </w:r>
    </w:p>
    <w:p>
      <w:r>
        <w:t>La capacité de travail peut-elle être améliorée par des mesures médicales ?</w:t>
      </w:r>
    </w:p>
    <w:p>
      <w:r>
        <w:rPr>
          <w:b/>
        </w:rPr>
        <w:t>E. 10</w:t>
      </w:r>
    </w:p>
    <w:p>
      <w:r>
        <w:t>Pronostic</w:t>
      </w:r>
    </w:p>
    <w:p>
      <w:r>
        <w:rPr>
          <w:b/>
        </w:rPr>
        <w:t>E. 11</w:t>
      </w:r>
    </w:p>
    <w:p>
      <w:r>
        <w:t>Questions complémentaires en cas de trouble somatoforme douloureux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 recourante dispose-t-elle encore de ressources psychiques, en d’autres termes est-il exigible d'elle qu'elle reprenne une activité lucrative même au prix d’importants efforts ?</w:t>
      </w:r>
    </w:p>
    <w:p>
      <w:r>
        <w:rPr>
          <w:b/>
        </w:rPr>
        <w:t>E. 12</w:t>
      </w:r>
    </w:p>
    <w:p>
      <w:r>
        <w:t>Remarques et commentaires de l'expert. Commet à ces fins le Dr B__________, psychiatre   ; Fixe aux parties un délai de 10 jours dès réception de la présente pour une éventuelle récusation de l’expert nommé ; Invite l’expert à déposer à sa meilleure convenance un rapport en deux exemplaires au Tribunal de céans ; Réserve le fond ;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