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A/517/2021 vom 19. Mai 2022</w:t>
      </w:r>
    </w:p>
    <w:p>
      <w:r>
        <w:t>GE Cour de justice, 2022-05-19, FR</w:t>
      </w:r>
    </w:p>
    <w:p>
      <w:r>
        <w:rPr>
          <w:b/>
        </w:rPr>
        <w:t xml:space="preserve">Quelle: </w:t>
      </w:r>
      <w:r>
        <w:t>https://mcp.opencaselaw.ch/entscheid/ge_gerichte_A_517_2021</w:t>
      </w:r>
    </w:p>
    <w:p>
      <w:r>
        <w:t>FR: GE_GERICHTE A/517/2021 du 19 mai 2022</w:t>
      </w:r>
    </w:p>
    <w:p>
      <w:r>
        <w:t>IT: GE_GERICHTE A/517/2021 del 19 maggio 2022</w:t>
      </w:r>
    </w:p>
    <w:p>
      <w:pPr>
        <w:pStyle w:val="Heading2"/>
      </w:pPr>
      <w:r>
        <w:t>Erwägungen</w:t>
      </w:r>
    </w:p>
    <w:p>
      <w:r>
        <w:rPr>
          <w:b/>
        </w:rPr>
        <w:t>E. 5</w:t>
      </w:r>
    </w:p>
    <w:p>
      <w:r>
        <w:t>Le litige porte sur le droit du recourant à des prestations d’invalidité, dans le cadre de la nouvelle demande qu'il a déposée en 2018.![endif]&gt;![if&gt;</w:t>
      </w:r>
    </w:p>
    <w:p>
      <w:r>
        <w:rPr>
          <w:b/>
        </w:rPr>
        <w:t>E. 6</w:t>
      </w:r>
    </w:p>
    <w:p>
      <w:r>
        <w:t>L'assuré a droit à une rente lorsqu'il a présenté une incapacité de travail (art. 6 LPGA) d'au moins 40 % en moyenne durant une année sans interruption notable et qu'au terme de cette année, il est invalide (art. 8 LPGA) à 40 % au moins (cf. art. 28 al. 1 let. b et c LAI, en sa teneur en vigueur dès le 1 er janvier 2008 - 5 ème révision AI). En vertu de l'art. 28 al. 2 LAI, l'assuré a droit à une rente entière s'il est invalide à 70 % au moins, à un trois quarts de rente s'il est invalide à 60 % au moins, à une demi-rente s'il est invalide à 50 % au moins, ou à un quart de rente s'il est invalide à 40 % au moins.![endif]&gt;![if&gt;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VSI 2001 p. 223 consid. 2b ; arrêt du Tribunal fédéral des assurances I 786/04 du 19 janvier 2006 consid. 3.1).![endif]&gt;![if&gt;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aux troubles dépressifs de degré léger ou moyen (ATF 143 V 409 consid. 4.5.1).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 ![endif]&gt;![if&gt; C.     Complexe « Contexte social » (consid. 4.3.3)![endif]&gt;![if&gt; -          Catégorie « Cohérence » (aspects du comportement ;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9</w:t>
      </w:r>
    </w:p>
    <w:p>
      <w:r>
        <w:t>![endif]&gt;![if&gt;</w:t>
      </w:r>
    </w:p>
    <w:p>
      <w:r>
        <w:rPr>
          <w:b/>
        </w:rPr>
        <w:t>E. 9.1</w:t>
      </w:r>
    </w:p>
    <w:p>
      <w:r>
        <w:t>Selon l'art. 87 al. 3 du règlement sur l’assurance-invalidité du 17 janvier 1961 (RAI - RS 831.201),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2b).![endif]&gt;![if&gt;</w:t>
      </w:r>
    </w:p>
    <w:p>
      <w:r>
        <w:rPr>
          <w:b/>
        </w:rPr>
        <w:t>E. 9.2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2b).![endif]&gt;![if&gt;</w:t>
      </w:r>
    </w:p>
    <w:p>
      <w:r>
        <w:rPr>
          <w:b/>
        </w:rPr>
        <w:t>E. 9.3</w:t>
      </w:r>
    </w:p>
    <w:p>
      <w:r>
        <w:t>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b).![endif]&gt;![if&gt;</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12</w:t>
      </w:r>
    </w:p>
    <w:p>
      <w:r>
        <w:t>En l’espèce, il convient tout d’abord de rappeler que dans sa décision entrée en force du 16 avril 2015, l’intimé avait rejeté une première demande de prestations, au motif que l’assuré, bien que totalement incapable d’exercer son activité antérieure de maçon, disposait néanmoins d’une pleine capacité de travail dans toute activité adaptée à ses limitations, ce dont il résultait un degré d’invalidité de 11 %. L’intimé avait fondé sa décision, entre autres, sur le rapport d’examen final du médecin d’arrondissement de la SUVA de juin 2010, ainsi que sur les rapports de réadaptation professionnelle de l’ORIF, dont il ressortait que l’assuré avait été reclassé en tant qu’opérateur en horlogerie et qu’il avait obtenu le diplôme correspondant (AFP).![endif]&gt;![if&gt; Saisi en 2019 d'une nouvelle demande, en lien avec une péjoration alléguée de l’état de santé (cf. rapport du Dr C______ du 14 novembre 2018), l'intimé a diligenté une expertise pluridisciplinaire en médecine interne, psychiatrie et orthopédie, à l’issue de laquelle les experts ont conclu que, depuis la décision entrée en force de 2015, la capacité de travail dans une activité adaptée était demeurée entière. Sur cette base, l'intimé, dans la décision attaquée, a rejeté la nouvelle demande. Dans son recours, l’assuré fait valoir une violation du droit d’être entendu, pour le motif que l’intimé, dans sa décision, n’aurait pas pris position sur les rapports transmis à l’appui de ses objections au préavis de décision. Sur le fond, il conteste la valeur probante de l’expertise du SMEX, dont le volet psychiatrique lui paraît contradictoire. Sous l’angle orthopédique, il soutient que l’expertise repose sur des examens incomplets, faute pour l’expert d’avoir pris en compte les rapports postérieurs au mois de septembre 2019, notamment ceux des Drs G______ et C______, ainsi que de M. N______. Enfin, il reproche aux experts de ne pas avoir exploré la problématique de ses troubles auditifs et de ne pas avoir invité les EPI à se déterminer sur sa capacité de travail.</w:t>
      </w:r>
    </w:p>
    <w:p>
      <w:r>
        <w:rPr>
          <w:b/>
        </w:rPr>
        <w:t>E. 13</w:t>
      </w:r>
    </w:p>
    <w:p>
      <w:r>
        <w:t>Il convient, en premier lieu, de se déterminer sur le grief du recourant tiré d’une violation du droit d’être entendu.![endif]&gt;![if&gt;</w:t>
      </w:r>
    </w:p>
    <w:p>
      <w:r>
        <w:rPr>
          <w:b/>
        </w:rPr>
        <w:t>E. 13.1</w:t>
      </w:r>
    </w:p>
    <w:p>
      <w:r>
        <w:t>La jurisprudence a déduit du droit d'être entendu, consacré à l'art. 29 al. 2 de la Constitution fédérale de la Confédération suisse du 18 avril 1999 (Cst. -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 elle n'a toutefois pas l'obligation d'exposer et de discuter tous les faits, moyens de preuve et griefs invoqués par les parties, mais elle peut au contraire se limiter à traiter ceux qui lui semblent pertinents (ATF 133 I 270 consid. 3 ; ATF 129 I 232 consid. 3.2 ; 126 I 97 consid. 2b). En règle générale, l'étendue de l'obligation de motiver dépend de la complexité de l'affaire à juger, de la liberté d'appréciation dont jouit l'autorité et de la potentielle gravité des conséquences de sa décision (cf. ATF 112 Ia 107 consid. 2b). ![endif]&gt;![if&gt;</w:t>
      </w:r>
    </w:p>
    <w:p>
      <w:r>
        <w:rPr>
          <w:b/>
        </w:rPr>
        <w:t>E. 13.2</w:t>
      </w:r>
    </w:p>
    <w:p>
      <w:r>
        <w:t>En l’espèce, contrairement à ce que soutient le recourant, la décision litigieuse est suffisamment motivée, dès lors qu’elle se réfère aux avis émis par le SMR, lequel s’est dûment déterminé sur les rapports produits à l’appui des objections au préavis de décision, en exposant pour quels motifs ces rapports ne permettaient pas de remettre en cause les conclusions du SMEX (cf. avis des 15 décembre 2020 et 8 janvier 2021). De surcroît, le recourant a pu avoir accès au dossier administratif complet et prendre connaissance des prises de position du SMR, ainsi que de l’expertise du SMEX. Partant, le grief tiré d’une violation du droit d’être entendu doit être écarté.![endif]&gt;![if&gt;</w:t>
      </w:r>
    </w:p>
    <w:p>
      <w:r>
        <w:rPr>
          <w:b/>
        </w:rPr>
        <w:t>E. 14</w:t>
      </w:r>
    </w:p>
    <w:p>
      <w:r>
        <w:t>![endif]&gt;![if&gt;</w:t>
      </w:r>
    </w:p>
    <w:p>
      <w:r>
        <w:rPr>
          <w:b/>
        </w:rPr>
        <w:t>E. 14.1</w:t>
      </w:r>
    </w:p>
    <w:p>
      <w:r>
        <w:t>Sur le fond, la chambre de céans constate que l'expertise pluridisciplinaire du SMEX est fondée sur une anamnèse complète et détaillée, intégrant un résumé des pièces pertinentes versées au dossier, mais également sur les indications subjectives de l'assuré, des examens cliniques complets, ainsi qu'une discussion interdisciplinaire du cas. En outre, ses conclusions sont motivées, et les experts ont confronté leurs propres observations aux diagnostics de leurs confrères, de sorte qu'elle satisfait aux réquisits jurisprudentiels topiques en matière de valeur probante.![endif]&gt;![if&gt;</w:t>
      </w:r>
    </w:p>
    <w:p>
      <w:r>
        <w:rPr>
          <w:b/>
        </w:rPr>
        <w:t>E. 14.2</w:t>
      </w:r>
    </w:p>
    <w:p>
      <w:r>
        <w:t>Il ressort de cette expertise qu’au plan somatique, les experts ont retenu les diagnostics avec effet sur la capacité de travail de séquelles de fracture du pilon tibial droit en 2008 (avec problèmes cutanés, améliorés depuis l’ablation du matériel d’ostéosynthèse en 2019), de séquelles d’une fracture de la jambe droite en 1990, avec défaut d’axe persistant, ainsi que de surdité de perception bilatérale appareillée. En substance, l’expert orthopédique a exposé que son examen clinique ne mettait en évidence ni œdème, ni atrophie au niveau des quadriceps et des muscles jumeaux, et que l’assuré était capable de marcher sur la pointe des pieds et les talons. L’arrière-pied présentait un discret varus, mais les callosités plantaires des deux pieds étaient identiques, ce qui démontrait que l’assuré était capable de se mouvoir « normalement » dans sa vie quotidienne (malgré une boiterie de la jambe droite). Il a précisé que les limitations fonctionnelles à respecter sous l’angle orthopédique se recoupaient avec celles énoncées par la SUVA en juin 2010. Pour sa part, l’experte en médecine interne a indiqué que l’assuré présentait une obésité modérée et un syndrome obstructif débutant (appareillé depuis 2016), atteintes sans répercussion sur la capacité de travail. Sous l’angle ORL, cette experte n’a pas retenu de syndrome vestibulaire central ou périphérique. Elle a précisé que son examen allait dans le même sens que celui du Dr J______, à savoir qu’il fallait privilégier un environnement de travail calme (même si la compréhension de l’assuré durant l’entretien était bonne). ![endif]&gt;![if&gt;</w:t>
      </w:r>
    </w:p>
    <w:p>
      <w:r>
        <w:rPr>
          <w:b/>
        </w:rPr>
        <w:t>E. 14.3</w:t>
      </w:r>
    </w:p>
    <w:p>
      <w:r>
        <w:t>En ce qui concerne le volet psychiatrique de l’expertise, qui a été complété par un examen neuropsychologique, l’experte-psychiatre a retenu les diagnostics sans effet sur la capacité de travail de troubles mixtes de la personnalité, avec des traits de personnalité anankastiques émotionnellement labiles de type impulsif (F61.0) et d’épisode dépressif en 2017, désormais en rémission (F32). Contrairement à ce que laisse entendre le recourant, l’experte a justifié ses diagnostics (ATF 141 V 281 consid. 2.1.1 ; ATF 143 V 409 consid. 4.5.2), tout en expliquant pourquoi elle se distanciait de ceux évoqués par la Dresse H______ (trouble anxieux et dépressif mixte ; dépendance à l’alcool), relevant à cet égard que l’intéressé ne présentait plus de symptômes de la lignée anxieuse et dépressive à la date de l’expertise – grâce au traitement médicamenteux et au suivi psychiatrique – et pas non plus de dépendance à l’alcool (la consommation de l’assuré étant limitée à un verre par jour). Au vu des constatations ressortant de l’expertise, notamment celles ayant trait à l’absence de symptômes de la lignée anxieuse et dépressive, on ne saurait déduire du diagnostic et des symptômes pertinents un degré de gravité important de la maladie (cf. ATF 141 V 281 consid. 4.3.1.1).![endif]&gt;![if&gt; S'agissant du traitement (consid. 4.3.1.2), l’experte-psychiatre a précisé que l’assuré adhérait à son suivi psychiatrique-psychothérapeutique auprès de la Dresse H______ ainsi qu’à son traitement de Cymbalta, lequel avait permis d’obtenir une bonne réponse thérapeutique. L’expertise ne met donc pas en évidence l’échec de tout traitement conforme aux règles de l'art, pas plus que l'échec d'une réadaptation conduite de manière adéquate, étant rappelé que l’assuré a pu être reclassé en tant qu’opérateur en horlogerie et qu’il a obtenu le diplôme correspondant (cf. ATF 141 V 281 consid. 4.3.1.2). S'agissant des comorbidités, les experts ont analysé globalement, comme le préconise la jurisprudence (consid. 4.3.1.3), l'interaction entre les troubles psychiques et les pathologies concomitantes, en soulignant notamment que les troubles auditifs de l’assuré se répercutaient sur son comportement et étaient indissociables de ses limitations psychiques, puisqu’ils réduisaient légèrement ses capacités d’apprentissage, sans pour autant empêcher la reprise d’une activité adaptée. S’agissant du complexe « personnalité » (consid. 4.3.2), l’experte a expliqué les raisons pour lesquelles elle retenait le diagnostic de troubles mixtes de la personnalité, avec traits de personnalité anankastique et émotionnellement labile de type impulsif (F61.0). Elle a également relevé que l’expression de ces traits de personnalité tendait à disparaître lorsque l’assuré se sentait en sécurité et comprenait clairement les attentes de son employeur. S'agissant du contexte social et familial (consid. 4.3.3), l’expertise indique que l’assuré vit à Genève avec son fils de deux ans et avec son épouse. Ses parents vivent au Portugal, tout comme l’un de ses frères, tandis qu’un autre frère vit à Genève. Les relations avec la fratrie sont jugées « plus ou moins bonnes » par l’assuré, qui indique néanmoins avoir plus de contacts avec la famille de son épouse. L’intéressé obtient du soutien de son épouse, mais décrit également de nombreuses disputes, tant avec cette dernière qu’avec sa belle-fille. Le réseau social est qualifié de « restreint ». Eu égard aux renseignements ressortant de l’expertise, le contexte social et familial n’apparaît ni particulièrement favorable, ni particulièrement défavorable. S'agissant des ressources (consid. 4.3.2), il ressort de l’expertise que l’assuré est diminué en ce qui concerne ses facultés à contrôler ses impulsions, à nouer des contacts et à s’adapter aux règles, ceci notamment en raison de sa surdité. En revanche, sa capacité de jugement et son sens des réalités sont préservés, tout comme son estime de soi et son dynamisme. L’assuré ne présente pas non plus de problèmes en ce qui concerne la planification des tâches. Selon l’experte, ces quelques limitations impliquent la nécessité de privilégier des travaux simples au sein d’une structure soutenante et d’éviter les environnements de travail bruyants, ainsi que les activités impliquant des horaires irréguliers. Pour autant, ces limitations n’empêchent pas l’exercice, à plein temps, d’une profession adaptée, ce que confirme également le résultat de l’examen neuropsychologique. Enfin, sous l'angle de la cohérence (consid. 4.4), les experts relèvent l’absence de comportement d’exagération ou de simulation, mais voient néanmoins une incohérence dans le fait que l’assuré s’estime incapable de travailler à plus de 50 % en raison de douleurs de la jambe / cheville droite et des vertiges dont il se plaint, alors qu’il demeure parallèlement capable de conduire sa voiture et de s’occuper de son fils, respectivement de faire le ménage, les commissions, de préparer les repas, de laver, de sécher le linge, et de monter les escaliers de son immeuble sans ascenseur. Les experts notent également que l’assuré travaille à mi-temps aux ateliers des EPI, où il se sent à l’aise, et qu’il a été en mesure d’accomplir une formation dans l’horlogerie à plein temps, sanctionnée par un diplôme. La chambre de céans estime que ces éléments plaident, dans l’ensemble, contre une limitation uniforme du niveau d'activité dans tous les domaines comparables de la vie, et qu’ils tendent à démontrer que le recourant dispose de ressources mobilisables dans le domaine professionnel. Il apparaît dès lors que les indicateurs standards analysés sur la base de l'expertise du SMEX conduisent à réfuter le caractère sévère des troubles psychiques, de sorte que les experts étaient fondés à en nier le caractère invalidant. À l’issue d’une discussion interdisciplinaire du cas, les experts ont conclu que l’assuré présentait une capacité de travail nulle dans ses activités antérieures de maçon, d’employé de buanderie et de concierge. En revanche, depuis la décision entrée en force du 16 avril 2015, sa capacité de travail demeurait entière dans toute activité adaptée aux limitations fonctionnelles, dont celle d’opérateur en horlogerie. La chambre de céans n’a pas de raison de s’écarter de cette appréciation.</w:t>
      </w:r>
    </w:p>
    <w:p>
      <w:r>
        <w:rPr>
          <w:b/>
        </w:rPr>
        <w:t>E. 14.4</w:t>
      </w:r>
    </w:p>
    <w:p>
      <w:r>
        <w:t>C’est le lieu de rappeler que lorsqu'une appréciation repose sur une évaluation médicale complète,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3.2).![endif]&gt;![if&gt; En l’occurrence, ni le recourant, ni ses médecins ne mettent de tels éléments en évidence. Tout d’abord, contrairement à ce que soutient le recourant, on ne saurait valablement reprocher aux experts d’avoir omis de prendre en considération les rapports établis par les Drs G______ et C______, ainsi que par M. N______ : la brève attestation rédigée par M. N______, reçue par l’OAI le 31 octobre 2019, ne met pas en doute le point de vue des experts, dès lors qu’elle ne se prononce pas sur la capacité de travail, ceci à juste titre dans la mesure où c’est au médecin – et non au physiothérapeute – qu’il incombe d'indiquer dans quelle mesure et pour quelles activités l'assuré est incapable de travailler (ATF 125 V 256 consid. 4 et les références). S’agissant des certificats du Dr G______ des 12 et 30 juin 2020, respectivement des rapports du Dr C______ des 15 juin, 20 octobre et 19 novembre 2020, ils n’ont été produits qu’au stade de l’opposition, soit postérieurement à l’expertise, et ne pouvaient donc être pris en compte par les experts au moment où ils ont rédigé leur rapport. En outre, le recourant ne saurait être suivi lorsqu’il prétend que ses troubles auditifs auraient été ignorés par les experts, cette problématique ayant été abordée aussi bien par l’experte en médecine interne que par l’expert-psychiatre. Quant au rapport du Dr G______ du 3 mars 2020, il est résumé en p. 30 de l’expertise et n’a donc pas été omis par les experts, à l’inverse de ce que prétend le recourant. Par ailleurs, dans la mesure où le recourant se prévaut d’une nouvelle intervention chirurgicale qu’il a subie en décembre 2021, soit postérieurement à la décision, il y a lieu de rappeler que le juge des assurances sociales apprécie la légalité des décisions attaquées, en règle générale, d’après l’état de fait existant au moment où la décision litigieuse a été rendue (ATF 121 V 366 consid. 1b et les références). S’agissant des supposées « contradictions » invoquées, on relèvera que l’experte-psychiatre a bel et bien tenu compte de troubles cognitifs, contrairement à ce que semble croire le recourant, mais qu’elle a désigné ces troubles comme étant des « troubles de l’attention » plutôt que de « troubles de la concentration ». L’experte ne s’est donc pas contredite en retenant, dans son status clinique, la présence de troubles de l’attention (justifiée par le fait que l’assuré perd parfois le fil de la discussion) et l’absence de troubles de la concentration. Par ailleurs, l’experte a dûment justifié les raisons pour lesquelles elle ne retenait pas de diminution de l’estime de soi et le recourant tente de se substituer à l’experte lorsqu’il laisse entendre que cette dernière se devait de retenir la présence d’idées suicidaires, parce qu’il lui a indiqué qu’il « [pouvait] faire des menaces suicidaires ou violentes lorsqu’[il était] en colère ». Enfin, il convient de relever qu’à l’exception de la Dresse H______, les avis émis par les médecins de l'assuré ne s'écartent pas fondamentalement de ceux des experts du SMEX. Le Dr C______, dans ses rapports des 24 mars et 12 juin 2020, a préconisé l’exercice d’un emploi en position assise, par exemple en tant qu’opérateur en horlogerie (moyennant certains aménagements). Dans un rapport subséquent, daté du 19 novembre 2020, il a refusé de se déterminer sur le contenu de l’expertise, après avoir été invité par la représentante de l’assuré à faire part de ses éventuelles critiques vis-à-vis de celle-ci. De son côté, le Dr J______ a fait état, sous l’angle ORL, d’une capacité de travail « proche de 100 % » dans une activité adaptée, ce qui coïncide peu ou prou avec les conclusions des experts. Pour sa part, le Dr G______ s’est essentiellement limité à relayer les plaintes de son patient pour en déduire que, dans l’activité actuellement exercée au sein des ateliers des EPI, un taux d’activité de 40 % serait préférable. Le médecin traitant n’a toutefois pas pris position sur les constatations et conclusions figurant dans l’expertise, de sorte que son appréciation ne remet pas en cause celle des experts. Quant à la Dresse H______, elle a certes conclu à une capacité de travail nulle depuis le début de son suivi, en juillet 2018. Toutefois, cette praticienne n’a pas mis en évidence non plus d’élément objectivement vérifiable qui aurait été ignoré par les experts et serait suffisamment pertinent pour en remettre en cause leurs conclusions. En effet, la Dresse H______ affirme en substance que contrairement à l’experte-psychiatre, elle n’a pas mis en évidence de trouble de la personnalité chez l’assuré, que l’intéressé n’est « pas vraiment en rémission » puisqu’il présente encore des symptômes anxieux et dépressifs, que l’experte-psychiatre aurait banalisé la consommation d’alcool et ne s’est pas entretenue avec elle. Ce faisant, cette praticienne se limite pour l’essentiel à fournir une appréciation divergente de l’état de santé psychique de l’assuré, ce qui ne suffit pas à remettre en cause le résultat de l’expertise. En outre, dans la mesure où la Dresse H______, respectivement le recourant, reprochent à l’experte-psychiatre de ne pas l’avoir contactée, et de ne pas avoir contacté non plus les EPI, on rappellera que le corps médical dispose d'une large autonomie dans la conduite de ses examens et que le juge n'intervient qu'avec retenue lorsqu'il s'agit de remettre en cause la méthodologie utilisée (arrêt du Tribunal fédéral 9C_753/2010 du 22 décembre 2010 consid. 2.3.2 et les références). Or, on ne saurait valablement faire grief aux experts de ne pas avoir pris contact avec les EPI et avec la Dresse H______, alors que l’assuré les avait déjà suffisamment renseignés, durant l’expertise, au sujet du déroulement de son stage aux EPI, et que par ailleurs, ils avaient déjà connaissance du point de vue de la Dresse H______, puisqu’ils avaient résumé son rapport en p. 39 de l’expertise.</w:t>
      </w:r>
    </w:p>
    <w:p>
      <w:r>
        <w:rPr>
          <w:b/>
        </w:rPr>
        <w:t>E. 15</w:t>
      </w:r>
    </w:p>
    <w:p>
      <w:r>
        <w:t>![endif]&gt;![if&gt;</w:t>
      </w:r>
    </w:p>
    <w:p>
      <w:r>
        <w:rPr>
          <w:b/>
        </w:rPr>
        <w:t>E. 15.1</w:t>
      </w:r>
    </w:p>
    <w:p>
      <w:r>
        <w:t>Au vu de ce qui précède, c'est à bon droit que l'intimé s'est rallié aux conclusions de l'expertise du SMEX, dont il résulte que, depuis la décision du 16 avril 2015, la capacité de travail du recourant est demeurée entière dans toute activité adaptée aux limitations fonctionnelles, dont celle d’opérateur en horlogerie (sous réserve d’une période d’un mois après l’opération de février 2019, ainsi que la période du 18 au 26 avril 2016, en raison des atteintes ORL).![endif]&gt;![if&gt;</w:t>
      </w:r>
    </w:p>
    <w:p>
      <w:r>
        <w:rPr>
          <w:b/>
        </w:rPr>
        <w:t>E. 15.2</w:t>
      </w:r>
    </w:p>
    <w:p>
      <w:r>
        <w:t>Selon la décision entrée en force de 2015, le recourant, s’il était resté en bonne santé, aurait perçu un revenu sans invalidité de CHF 69'361.-, correspondant au salaire de maçon qu’il a perçu jusqu’en 2009, en tenant compte de l’évolution des salaires. Quant au revenu d’invalide, il a été fixé à CHF 61'843.-, montant correspondant au salaire pour lequel l’assuré a été engagé chez Rolex SA (en 2014), dans le cadre du contrat à durée déterminée obtenu à l’issue de sa formation d’opérateur en horlogerie. De la comparaison des revenus, il résulte un degré d’invalidité de 11 %, insuffisant pour ouvrir droit à une rente.![endif]&gt;![if&gt;</w:t>
      </w:r>
    </w:p>
    <w:p>
      <w:r>
        <w:rPr>
          <w:b/>
        </w:rPr>
        <w:t>E. 15.3</w:t>
      </w:r>
    </w:p>
    <w:p>
      <w:r>
        <w:t>À juste titre, le recourant ne discute pas les détails de la comparaison des gains opérée en 2015, à laquelle on peut ici se référer en l’absence de modification significative de l’état de santé. Le recourant soutient néanmoins qu’un abattement de 25 % devrait être retranché de son revenu d’invalide, afin de tenir compte de ses limitations fonctionnelles (troubles de la concentration, incapacité à porter des charges, à fléchir les jambes et à marcher plus ou moins longtemps).![endif]&gt;![if&gt; La chambre de céans constate que la situation du recourant au regard des éléments déterminants pour la prétention en cause n'a pas connu d'évolution significative depuis le refus de la rente d’invalidité en 2015 : les répercussions de l’état de santé sur la capacité de travail dans une activité adaptée - toujours exigible à un taux de 100 % -, sont restées les mêmes, et la profession d’opérateur en horlogerie demeure adaptée, conformément aux conclusions de l’expertise. En outre, le spectre des limitations fonctionnelles est similaire par rapport à la situation qui prévalait en 2015. La capacité de gain (théorique) de l'assurée ne s’en trouve dès lors pas modifiée ni, en conséquence, le degré d'invalidité. À défaut d'une modification notable, le taux d'invalidité n'a pas à être fixé à nouveau (cf. arrêt du Tribunal fédéral 9C_759/2019 du 31 juillet 2020 consid. 5). De surcroît, en invoquant un abattement de 25 % sur le revenu d'invalide, le recourant n'établit pas que le taux d'invalidité en résultant serait suffisant pour justifier le droit à un quart de rente. En effet, même si l’on voulait tenir compte d’un abattement de 25 % sur le revenu d’invalide, le taux d'invalidité ne s’élèverait qu’à 33 % (CHF 69'361.- – [0.75 x CHF 61'843.-] / CHF 69'361.- = 33 %). En conclusion, il convient d’admettre que, depuis la décision de 2015, l’état de santé du recourant ne s’est pas péjoré dans une mesure suffisante pour ouvrir le droit à une rente (art. 28 al. 1 LAI).</w:t>
      </w:r>
    </w:p>
    <w:p>
      <w:r>
        <w:rPr>
          <w:b/>
        </w:rPr>
        <w:t>E. 16</w:t>
      </w:r>
    </w:p>
    <w:p>
      <w:r>
        <w:t>En dernier lieu, le recourant sollicite l’octroi de (nouvelles) mesures d’ordre professionnel, sans préciser lesquelles.![endif]&gt;![if&gt;</w:t>
      </w:r>
    </w:p>
    <w:p>
      <w:r>
        <w:rPr>
          <w:b/>
        </w:rPr>
        <w:t>E. 16.1</w:t>
      </w:r>
    </w:p>
    <w:p>
      <w:r>
        <w:t>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à celles qui seraient les meilleures dans son cas (ATF 139 V 399 consid. 5.4).![endif]&gt;![if&gt; Le seuil minimum fixé par la jurisprudence pour ouvrir droit à une mesure de reclassement est une diminution de la capacité de gain de 20 % environ (ATF 139 V 399 consid. 5.3).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(ATF 139 V 399 consid. 5.6 et l'arrêt cité). En l'occurrence, le recourant a déjà bénéficié d'une mesure de reclassement en tant qu’opérateur en horlogerie, laquelle a été sanctionnée par un diplôme (AFP). Quoi qu’en dise l’assuré, la profession d’opérateur en horlogerie lui demeure accessible (moyennant certains aménagements), selon les experts, et lui permettrait d’obtenir un revenu satisfaisant, du même ordre que celui qu’il percevait jadis en tant que maçon. Au vu du degré d'invalidité de 11 % qu’il présente depuis l’obtention de son diplôme, l’intéressé ne se trouve pas dans la situation où il pourrait prétendre à l'octroi de mesures supplémentaires de reclassement (arrêt du Tribunal fédéral 9C_409/2014 du 7 novembre 2014 consid. 8).</w:t>
      </w:r>
    </w:p>
    <w:p>
      <w:r>
        <w:rPr>
          <w:b/>
        </w:rPr>
        <w:t>E. 16.2</w:t>
      </w:r>
    </w:p>
    <w:p>
      <w:r>
        <w:t>En ce qui concerne l'orientation professionnelle, y ont droit les assurés qui, en raison de leur invalidité, sont limités dans le choix d'une profession ou dans l'exercice de leur activité antérieure et qui ont dès lors besoin d'une orientation professionnelle spécialisée (art. 15 LAI ; Circulaire sur les mesures de réadaptation professionnelle, CMRP, p. 16, n 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En l’espèce, dans la mesure où le recourant pourrait, selon les experts, exercer aussi bien la profession d’opérateur en horlogerie, dans laquelle il a été reclassé, que toute autre profession adaptée à son handicap de la jambe droite et à ses troubles ORL, on peut raisonnablement considérer que le marché du travail lui offre un nombre suffisant d'activités physiquement peu astreignantes, compatibles avec les limitations énoncées et accessibles sans formation particulière. Cela rend superflu l'octroi d'une nouvelle mesure d'orientation professionnelle. Pour le reste, le recourant ne désigne aucune autre mesure d’ordre professionnel susceptible d’entrer en considération dans son cas, de sorte que l’intimé était fondé à refuser l’octroi de nouvelles mesures de réadaptation.</w:t>
      </w:r>
    </w:p>
    <w:p>
      <w:r>
        <w:rPr>
          <w:b/>
        </w:rPr>
        <w:t>E. 17</w:t>
      </w:r>
    </w:p>
    <w:p>
      <w:r>
        <w:t>Le dossier permettant à la chambre de céans de se prononcer en connaissance de cause sur le bien-fondé de la décision attaquée, il est inutile d'ordonner une expertise judiciaire, par appréciation anticipée des preuves (ATF 122 II 464 consid. 4a). Par ailleurs, l’audition des médecins du recourant ne se justifie pas davantage, dans la mesure où ceux-ci ont déjà eu l’occasion de s’exprimer à maintes reprises par écrit, comme en témoignent les (très) nombreux rapports versés à la procédure.![endif]&gt;![if&gt;</w:t>
      </w:r>
    </w:p>
    <w:p>
      <w:r>
        <w:rPr>
          <w:b/>
        </w:rPr>
        <w:t>E. 18</w:t>
      </w:r>
    </w:p>
    <w:p>
      <w:r>
        <w:t>Mal fondé, le recours est rejeté.![endif]&gt;![if&gt;</w:t>
      </w:r>
    </w:p>
    <w:p>
      <w:r>
        <w:rPr>
          <w:b/>
        </w:rPr>
        <w:t>E. 19</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