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A/517/2018 vom 6. Dezember 2018</w:t>
      </w:r>
    </w:p>
    <w:p>
      <w:r>
        <w:t>GE Cour de justice, 2018-12-06, FR</w:t>
      </w:r>
    </w:p>
    <w:p>
      <w:r>
        <w:rPr>
          <w:b/>
        </w:rPr>
        <w:t xml:space="preserve">Quelle: </w:t>
      </w:r>
      <w:r>
        <w:t>https://mcp.opencaselaw.ch/entscheid/ge_gerichte_A_517_2018</w:t>
      </w:r>
    </w:p>
    <w:p>
      <w:r>
        <w:t>FR: GE_GERICHTE A/517/2018 du 6 décembre 2018</w:t>
      </w:r>
    </w:p>
    <w:p>
      <w:r>
        <w:t>IT: GE_GERICHTE A/517/2018 del 6 dicembre 2018</w:t>
      </w:r>
    </w:p>
    <w:p>
      <w:pPr>
        <w:pStyle w:val="Heading2"/>
      </w:pPr>
      <w:r>
        <w:t>Volltext</w:t>
      </w:r>
    </w:p>
    <w:p>
      <w:r>
        <w:t>Genève Cour de justice (Cour de droit public) Chambre des assurances sociales 06.12.2018 A/517/2018</w:t>
      </w:r>
    </w:p>
    <w:p>
      <w:r>
        <w:t>A/517/2018 ATAS/1174/2018 du 06.12.2018 ( PC ) , REJETE En fait En droit rÉpublique et canton de genÈve POUVOIR JUDICIAIRE A/517/2018 ATAS/1174/2018 COUR DE JUSTICE Chambre des assurances sociales Arrêt du 6 décembre 2018 3ème Chambre En la cause Madame A______, domiciliée aux AVANCHETS recourante contre SERVICE DES PRESTATIONS COMPLÉMENTAIRES, sis route de Chêne 54, GENÈVE intimé EN FAIT 1.        Madame A______ (ci-après : l’intéressée), née en 1956, bénéficie de prestations complémentaires depuis 2005. ![endif]&gt;![if&gt; 2.        En remplissant sa demande de prestations, le 9 mai 2005, l’intéressée s’est engagée à : « informer [l’autorité] sans retard de tout changement de [sa] situation personnelle, de [ses] revenus, de [son] patrimoine et de [ses] dépenses et des personnes à charge ». Cette obligation lui a par la suite été rappelée régulièrement, notamment le 7 décembre 2012 ; était notamment mentionnée, à titre d’événement devant être signalé, la naissance d’un enfant (cf. courrier du 7 décembre 2012, p. 4 ; cf. également courrier du 6 décembre 2013, courrier de décembre 2014, décembre 2015, etc.).![endif]&gt;![if&gt; 3.        Les décisions de prestations rendues au fil des ans précisaient que le montant du loyer retenu tenait compte du nombre de personnes partageant le logement de l’intéressée. ![endif]&gt;![if&gt; 4.        Par courrier du 28 octobre 2014, l’intéressée a informé l’autorité que sa fille et son mari logeaient temporairement chez elle depuis le 10 octobre 2014, ce dont l’autorité a tenu compte dans le calcul des prestations dès le 1 er novembre 2014. ![endif]&gt;![if&gt; 5.        Par courrier du 22 juillet 2016, l’intéressée a informé l’autorité que sa fille, son gendre et leurs filles, nées le ______ 2013, respectivement le ______ 2015, habitaient sous son toit. ![endif]&gt;![if&gt; 6.        Fort de ce renseignement, le SPC a repris le calcul des prestations en tenant compte du nombre exact de personnes partageant le logement de l’assurée (fille, gendre et deux petits-enfants) et a constaté que CHF 7'704.- lui avaient été versés à tort pour la période du 1 er octobre 2013 au 31 octobre 2016, dont il lui a réclamé la restitution par décision du 7 octobre 2016. ![endif]&gt;![if&gt; 7.        Par courrier du 22 octobre 2016, l’intéressée a sollicité un arrangement de paiement et, par pli du 5 décembre 2016, la Ville de Vernier a demandé en son nom la remise de l’obligation de restituer ladite somme. ![endif]&gt;![if&gt; Il a été allégué que, si l’intéressée n’avait pas annoncé la naissance de ses petites-filles, c’est parce qu’elle n’avait pas réalisé que l’agrandissement de la cellule familiale de sa fille pouvait influer sur le montant de ses prestations ; elle pensait que seuls les adultes étaient pris en compte dans le calcul du loyer. Il s’agissait là du premier manquement de l’intéressée, qui avait agi en toute bonne foi et se trouvait par ailleurs dans une condition financière difficile. 8.        Le 2 janvier 2017, l’intéressée a informé le SPC de la naissance de sa troisième petite-fille, en décembre 2016, dont l’autorité a tenu compte en adaptant le calcul des prestations par décision du 20 avril 2017, faisant apparaître un trop-versé de CHF 255.- pour la période allant du 1 er décembre 2016 au 30 avril 2017. ![endif]&gt;![if&gt; La remise de l’obligation de restituer cette somme a cependant été accordée par décision du 11 décembre 2017, l’intéressée ayant informé à temps le SPC. 9.        Par décision du 8 décembre 2017, le SPC a en revanche rejeté la demande de remise de l’obligation de rembourser la somme de CHF 7'704.- résultant de la correction effectuée suite à la découverte de l’existence des deux premières petites-filles de sa bénéficiaire. ![endif]&gt;![if&gt; Le SPC a rappelé n’avoir été informé de la cohabitation de l’intéressée avec ses petites-filles qu’en date du 22 juillet 2016 et considéré que, dans ces conditions, sa bonne foi ne pouvait être reconnue. Pour le surplus, il a pris acte du versement, le 18 novembre 2016, de CHF 6'500.-, ramenant le montant encore dû à CHF 1'204.-. 10.    Par courrier du 22 décembre 2017, l’intéressée s’est opposée à cette décision en invoquant son ignorance du fait que la naissance de ses petites-filles pouvait influencer son droit aux prestations. ![endif]&gt;![if&gt; 11.    Par décision sur opposition du 6 février 2018, le SPC a confirmé sa décision du 8 décembre 2017.![endif]&gt;![if&gt; Le SPC a nié la bonne foi de l’intéressée au motif qu’elle n’avait pas signalé à temps sa cohabitation avec sa fille et la famille de cette dernière, alors même que son attention avait pourtant été attirée à plusieurs reprises sur son obligation d’information. Cette négligence devait être qualifiée de grave. Le SPC a fait remarquer qu’il n’appartenait pas à l’intéressée de décider quels éléments étaient pertinents pour l’administration. Quant à la remise de l’obligation de restituer la somme de CHF 255.- accordée par décision du 11 décembre 2017, l’intéressée ne pouvait en tirer aucun argument dans la mesure où elle concernait des faits postérieurs à la décision du 7 octobre 2016. 12.    Par courrier du 8 février 2018, l’intéressée a interjeté recours auprès de la Cour de céans. ![endif]&gt;![if&gt; En substance, la recourante argue qu’elle pensait que seuls les adultes vivant sous son toit devaient être annoncés, raison pour laquelle elle n’a pas signalé à l’intimé la naissance de ses petites-filles, dont elle ne pensait pas qu’elle pouvait avoir des répercussions sur son droit aux prestations. 13.    Invité à se déterminer, l’intimé, dans sa réponse du 6 mars 2018, a conclu au rejet du recours. ![endif]&gt;![if&gt; 14.    Par écriture du 19 mars 2018, la recourante a persisté dans ses conclusions en reprenant l’argumentation développée dans son recours. ![endif]&gt;![if&gt; 15.    Une audience de comparution personnelle s’est tenue en date du 7 juin 2018.![endif]&gt;![if&gt; L’intimé a confirmé que l’arrivée de la fille et du gendre de la recourante avait été dûment annoncée, tout comme la naissance du troisième petit-enfant de sa bénéficiaire. La recourante a fait valoir que c’était là la démonstration de sa bonne foi et qu’elle n’avait jamais eu l’intention d’induire en erreur qui que ce soit. 16.    Interrogée par la Cour de céans, l’intimé a précisé, par courrier du 15 novembre 2018, avoir tenu compte de la cohabitation de la recourante avec sa fille et son gendre à compter du 1 er novembre 2014.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 RSG J 4 20] ; art. 43 LPCC).![endif]&gt;![if&gt; Interjeté dans les forme et délai légaux, le recours est recevable. 4.        Le litige porte sur le bien-fondé du rejet par l’intimé de la demande de remise de l’obligation de restituer les prestations complémentaires accordées à tort à la recourante du 1 er octobre 2013 au 31 octobre 2016.![endif]&gt;![if&gt; 5.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remise de l’obligation de restituer est donc soumise à deux conditions cumulatives : la bonne foi de l’assuré et sa situation financière difficile.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 ATF 112 V 97103 consid. 2c ; DTA 2003 n° 29 p. 260 consid. 1.2 et les références ;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Pour déterminer l’attention que l’on pouvait exiger de l’intéressé, il faut d’abord se fonder sur des critères objectifs, cependant, il ne faut pas faire abstraction des éléments subjectifs tels que sa capacité de jugement, son état de santé ou sa formation (Michel VALTERIO, Commentaire de la loi fédérale sur les prestations complémentaires à l’AVS et à l’AI, p. 304 n. 138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 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sa situation personnelle et toute modification sensible dans la situation matérielle du bénéficiaire de la prestation ou des membres de la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La Chambre de céans a retenu dans un arrêt du 24 janvier 2018 ( ATAS/57/2018 ) que même si une mère bénéficiant de prestations complémentaires souhaite accueillir gratuitement son enfant à la maison parce que celui-ci se trouve dans une période financièrement difficile, elle se doit de respecter ses obligations envers le SPC et, notamment, toute cohabitation. 6.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7.        En l’occurrence, il n’est pas contesté que c’est par le biais d’un courrier envoyé par la recourante en date du 22 juillet 2016 que l’intimé a pris connaissance du fait qu’elle cohabitait non seulement avec sa fille et son gendre, mais également avec ses deux petites-filles. ![endif]&gt;![if&gt; Il est manifeste qu’en n’avisant pas l’autorité du fait qu’elle hébergeait également ses petites-filles, la recourante a violé son obligation de renseigner, laquelle ressortait pourtant clairement, tant de la demande de prestations qu’elle a initialement remplie, que des formulaires qui lui ont été adressés régulièrement au fil des ans par l’intimé et qui mentionnaient, à titre d’exemple d’un évènement devant être signalé, la naissance d’un enfant (cf. courrier du 7 décembre 2012, p. 4 ; cf. également courrier du 6 décembre 2013, courrier de décembre 2014, décembre 2015). En outre, les décisions de prestations rendues chaque année précisaient que le montant du loyer retenu tenait compte du nombre de personnes (et non d’adultes) partageant le logement de l’intéressée. Dans ces circonstances, le manquement de l’intéressée, s’il ne saurait être certes qualifié de tentative délibérée de la recourante d’induire l’autorité en erreur, n’en constitue pas moins une violation de ses obligations constitutive d’une négligence grave au vu de l’importance de la différence de prestations qui a été versée consécutivement. La condition de la bonne foi n’étant pas réalisée, il n’y a pas lieu d’examiner celle de la situation financière difficile. C’est donc à juste titre que l’intimé a rejeté la demande de remise. Le recours est rejeté. PAR CES MOTIFS, LA CHAMBRE DES ASSURANCES SOCIALES : Statuant À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