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A/50/2006 vom 28. März 2006</w:t>
      </w:r>
    </w:p>
    <w:p>
      <w:r>
        <w:t>GE Cour de justice, 2006-03-28, FR</w:t>
      </w:r>
    </w:p>
    <w:p>
      <w:r>
        <w:rPr>
          <w:b/>
        </w:rPr>
        <w:t xml:space="preserve">Quelle: </w:t>
      </w:r>
      <w:r>
        <w:t>https://mcp.opencaselaw.ch/entscheid/ge_gerichte_A_50_2006</w:t>
      </w:r>
    </w:p>
    <w:p>
      <w:r>
        <w:t>FR: GE_GERICHTE A/50/2006 du 28 mars 2006</w:t>
      </w:r>
    </w:p>
    <w:p>
      <w:r>
        <w:t>IT: GE_GERICHTE A/50/2006 del 28 marzo 2006</w:t>
      </w:r>
    </w:p>
    <w:p>
      <w:pPr>
        <w:pStyle w:val="Heading2"/>
      </w:pPr>
      <w:r>
        <w:t>Erwägungen</w:t>
      </w:r>
    </w:p>
    <w:p>
      <w:r>
        <w:rPr>
          <w:b/>
        </w:rPr>
        <w:t>E. 33</w:t>
      </w:r>
    </w:p>
    <w:p>
      <w:r>
        <w:t>Or, ce taux d'invalidité de 42% est suffisant pour justifier l'octroi d'un quart de rente au sens de l'art. 28 al. 1 LAI. Aussi le recours doit-il être partiellement admis.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