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A/507/2018 vom 3. Mai 2018</w:t>
      </w:r>
    </w:p>
    <w:p>
      <w:r>
        <w:t>GE Cour de justice, 2018-05-03, FR</w:t>
      </w:r>
    </w:p>
    <w:p>
      <w:r>
        <w:rPr>
          <w:b/>
        </w:rPr>
        <w:t xml:space="preserve">Quelle: </w:t>
      </w:r>
      <w:r>
        <w:t>https://mcp.opencaselaw.ch/entscheid/ge_gerichte_A_507_2018</w:t>
      </w:r>
    </w:p>
    <w:p>
      <w:r>
        <w:t>FR: GE_GERICHTE A/507/2018 du 3 mai 2018</w:t>
      </w:r>
    </w:p>
    <w:p>
      <w:r>
        <w:t>IT: GE_GERICHTE A/507/2018 del 3 maggio 2018</w:t>
      </w:r>
    </w:p>
    <w:p>
      <w:pPr>
        <w:pStyle w:val="Heading2"/>
      </w:pPr>
      <w:r>
        <w:t>Regeste</w:t>
      </w:r>
    </w:p>
    <w:p>
      <w:r>
        <w:t>MINVIT | LP.93.al1</w:t>
      </w:r>
    </w:p>
    <w:p>
      <w:pPr>
        <w:pStyle w:val="Heading2"/>
      </w:pPr>
      <w:r>
        <w:t>Volltext</w:t>
      </w:r>
    </w:p>
    <w:p>
      <w:r>
        <w:t>Genève Cour de Justice (Cour civile) Chambre de surveillance en matière de poursuite et faillites 03.05.2018 A/507/2018</w:t>
      </w:r>
    </w:p>
    <w:p>
      <w:r>
        <w:t>MINVIT | LP.93.al1</w:t>
      </w:r>
    </w:p>
    <w:p>
      <w:r>
        <w:t>A/507/2018 DCSO/268/2018 du 03.05.2018 ( PLAINT ) , REJETE Normes : LP.93.al1 Résumé : MINVIT En fait En droit Par ces motifs RÉPUBLIQUE ET CANTON DE GENÈVE POUVOIR JUDICIAIRE A/507/2018/-CS DCSO/268/18 DECISION DE LA COUR DE JUSTICE Chambre de surveillance des Offices des poursuites et faillites DU jeudi 3 mai 2018 Plainte 17 LP (A/507/2018-CS) formée en date du 9 février 2018 par A______ , élisant domicile en l'étude de Me Caroline KÖNEMANN, avocate. * * * * * Décision communiquée par courrier A à l'Office concerné et par plis recommandés du greffier du 4 mai 2018 à : - A______ c/o Me Caroline KÖNEMANN, avocate Könemann &amp; Von Flüe Rue de la Terrassière 9 1207 Genève. - B______ - Office des poursuites . EN FAIT A. a. Par jugement rendu sur mesures protectrices de l'union conjugale le 24 mars 2017, confirmé par arrêt de la Cour de justice du 31 octobre 2017, le Tribunal de première instance a condamné B______ au versement d'une contribution de 1'380 fr. par mois à compter du 1 er juin 2016 à l'entretien de A______.![endif]&gt;![if&gt; Cette contribution a été fixée sur la base d'un revenu hypothétique imputé à B______ à hauteur de 5'480 fr., retenu en tenant compte de ses revenus perçus en 2016 et des gains accessoires réalisés durant la vie commune en exploitant des stands. b . Dans le cadre de la poursuite n° 17 xxxx16 P, engagée par A______ à l'encontre de son époux en se fondant sur ce jugement, l'Office des poursuites (ci-après: l'Office) a, en date du 1 er février 2018, entendu B______ et établi un procès-verbal de saisie, valant acte de défaut de biens, communiqué à la poursuivante le 5 février 2018. A teneur de ce procès-verbal, l'Office a retenu que le débiteur ne possédait aucun bien mobilier ou immobilier saisissable en Suisse ou à l'étranger, qu'il réalisait un revenu de 3'053 fr. net par mois, que ce revenu était insaisissable compte tenu des charges s'élevant à 3'133 fr. 50, comprenant le montant de base (1'200 fr.), le loyer (1'460 fr.), la cotisation d'assurance maladie (423 fr. 50) et les frais pour animal de compagnie (50 fr.). B. a. Par acte expédié le 9 février 2018 à la Chambre de surveillance, A______ a formé une plainte au sens de l'art. 17 LP contre ce procès-verbal de saisie valant acte de défaut de biens, dont elle sollicite l'annulation. Elle conclut à ce que l'Office tienne compte du revenu du poursuivi retenu par les juridictions civiles, et fasse la lumière sur sa fortune immobilière. Elle reproche à l'Office d'avoir pris en considération comme revenu du poursuivi la somme de 3'053 fr. alors que les juridictions civiles avaient retenu un montant de 5'480 fr. à ce titre, et de n'avoir pas tenu compte des biens immobiliers dont il est propriétaire en France. b. Dans ses observations déposées le 1 er mars 2018, l'Office a communiqué à la Chambre de surveillance le procès-verbal de saisie qu'il a émis le même jour, rectifiant celui du 1 er février 2018. Il a, pour le surplus, conclu au rejet de la plainte. L'Office a indiqué avoir entendu le poursuivi une nouvelle fois le 27 février 2018, puis avoir établi cet acte en tenant compte des biens immobiliers situés en France, en relevant que le débiteur avait déclaré ces biens à l'Office le 23 novembre 2017. La teneur de ce nouveau procès-verbal de saisie du 1 er mars 2018 est identique à celui du 1 er février 2018, sous réserve d'une mention qui a été ajoutée, selon laquelle le poursuivi est propriétaire de biens immobiliers en France, dont il ne tire toutefois aucun revenu, à savoir un appartement de 3 pièces, un garage/box et deux terrains agricoles à C______ (Hérault, France), d'une valeur estimée à respectivement 125'000 euros, 30'000 euros et 12'500 euros, ainsi que d'un local de 16m2 à Marseille estimé à 7'500 euros en copropriété à raison d'un tiers. Par ailleurs, les décomptes de salaire fournis par le poursuivi et produits dans la présente procédure par l'Office font ressortir que le salaire mensuel net versé au poursuivi est de 3'053 fr. par mois. c. B______ a conclu au rejet de la plainte, relevant que le montant retenu par la Cour de justice ne consiste pas en son revenu réel, et que l'Office avait procédé à la rectification du procès-verbal s'agissant de sa fortune immobilière située en France. d. La cause a été gardée à juger le 6 mars 2018, ce dont les parties ont été informées par plis du même jour.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 ème éd., 2014, n. 11 et 12 ad art. 17 LP). 1.2 Déposée dans les formes et délai prévus par la loi, la plainte est recevable. 2. La plaignante reproche à l'Office de n'avoir pas tenu compte des biens immobiliers dont le poursuivi est propriétaire en France. 2.1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 nécessaire de déposer une nouvelle plainte (Gilliéron, Commentaire de la loi fédérale sur la poursuite pour dettes et la faillite, n. 260 ad art. 17 LP). 2.2 . En l'occurrence, l'Office a, dans le délai qui lui a été imparti pour se déterminer sur la plainte, établi un nouveau procès-verbal de saisie valant acte de défaut de biens le 1er mars 2018, lequel fait mention des biens immobiliers du poursuivi en France avec la précision qu'il n'en tire aucun revenu. Le grief soulevé par la plaignante à cet égard n'a en conséquence plus d'objet. Reste à traiter la seconde critique formulée par la plaignante, qu'il convient d'examiner au regard du procès-verbal de saisie émis le 1 er mars 2018. 3. La plaignante reproche à l'Office d'avoir pris en considération, dans le cadre de la saisie, d'un revenu inférieur à celui retenu par les juridictions civiles pour fixer la contribution d'entretien. 3.1 A teneur de l'art. 93 al. 1 LP, les revenus, qui ne sont pas insaisissables en vertu de l'art. 92 LP, peuvent être saisis, déduction faite de ce que le préposé estime indispensable au débiteur et à sa famille. Pour fixer le montant saisissable – en fonction des circonstances de fait existant lors de l'exécution de la saisie (arrêt du Tribunal fédéral 7B.200/2003 du 11 novembre 2003, consid. 4 (non publié aux ATF 130 III 45 ); ATF 115 III 103 consid. 1c, JdT 1991 II 108)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 Sont déterminantes pour la saisie de salaire les circonstances réelles au moment de l'exécution de la saisie. Seul peut être saisi un revenu réel et non pas un revenu hypothétique ou présumé pour une activité que le poursuivi devrait pouvoir assumer, ni même un montant minimal (ATF 115 III 103 consid. 1.c, JdT 1991 II 108; BlSchK 2007, p. 249). 3.2 En l'espèce, le revenu hypothétique estimé par les juridictions civiles dans le cadre de la procédure de mesures protectrices de l'union conjugale est sans pertinence, dès lors que seul le revenu effectif du poursuivi peut être saisi. C'est ainsi à juste titre que l'Office a tenu compte du seul salaire effectivement perçu par le poursuivi. La plainte sera en conséquence rejetée. 4. La procédure de plainte est gratuite (art. 20a al. 2 ch. 5 LP et art. 61 al. 2 let. a OELP) et il ne peut être alloué aucun dépens (art. 62 al. 2 OELP). * * * * * PAR CES MOTIFS, La Chambre de surveillance : A la forme : Déclare recevable la plainte formée le 9 février 2018 par A______ contre le procès-verbal de saisie valant acte de défaut de biens n° 23 17 xxxx16 P du 1 er février 2018. Au fond : La rejette. Siégeant : Madame Ursula ZEHETBAUER GHAVAMI, présidente; Madame Marilyn NAHMANI et Monsieur Mathieu HOWALD,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