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A/506/2022 vom 15. August 2023</w:t>
      </w:r>
    </w:p>
    <w:p>
      <w:r>
        <w:t>GE Cour de justice, 2023-08-15, FR</w:t>
      </w:r>
    </w:p>
    <w:p>
      <w:r>
        <w:rPr>
          <w:b/>
        </w:rPr>
        <w:t xml:space="preserve">Quelle: </w:t>
      </w:r>
      <w:r>
        <w:t>https://mcp.opencaselaw.ch/entscheid/ge_gerichte_A_506_2022</w:t>
      </w:r>
    </w:p>
    <w:p>
      <w:r>
        <w:t>FR: GE_GERICHTE A/506/2022 du 15 août 2023</w:t>
      </w:r>
    </w:p>
    <w:p>
      <w:r>
        <w:t>IT: GE_GERICHTE A/506/2022 del 15 agosto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 ).</w:t>
      </w:r>
    </w:p>
    <w:p>
      <w:r>
        <w:rPr>
          <w:b/>
        </w:rPr>
        <w:t>E. 3</w:t>
      </w:r>
    </w:p>
    <w:p>
      <w:r>
        <w:t>Interjeté dans la forme et le délai - de trente jours - prévus par la loi, le recours est recevable (art. 56 ss LPGA ainsi que 62 ss de la loi sur la procédure administrative du 12 septembre 1985 [LPA-GE - E 5 10]).![endif]&gt;![if&gt;</w:t>
      </w:r>
    </w:p>
    <w:p>
      <w:r>
        <w:rPr>
          <w:b/>
        </w:rPr>
        <w:t>E. 4</w:t>
      </w:r>
    </w:p>
    <w:p>
      <w:r>
        <w:t>L'objet du litige porte sur la question du droit ou non du recourant à des prestations de l'AI, plus précisément une rente d’invalidité uniquement, dans la mesure où il a indiqué, en particulier en audience par la voix de son conseil, ne pas solliciter des mesures professionnelles.![endif]&gt;![if&gt;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 er janvier 2022, sont entrées en vigueur les modifications de la LAI du 19 juin 2020 (développement continu de l'AI ; RO 2021 705) ainsi que celles du 3 novembre 2021 du règlement sur l'assurance-invalidité du 17 janvier 1961 (RAI - RS 831.201;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serait né avant le 1 er janvier 2022, de sorte que les dispositions légales applicables seront citées dans leur ancienne teneur.</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 er janvier 2008).![endif]&gt;![if&gt;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1).![endif]&gt;![if&gt;</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c).![endif]&gt;![if&gt; Selon l'art. 28 al. 2 LAI, l'assuré a droit à une rente entière s'il est invalide à 70% au moins, à un trois quarts de rente s'il est invalide à 60% au moins, à une demi-rente s'il est invalide à 50% au moins, ou à un quart de rente s'il est invalide à 40% au moins. 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Il s’ensuit que, dans le cas présent, le droit à une rente d’invalidité de l’intéressé ne pourrait pas être ouvert avant le 1 er juin 2013, soit une année après le début de son incapacité de travail alléguée et six mois après le dépôt de sa demande de prestations AI.</w:t>
      </w:r>
    </w:p>
    <w:p>
      <w:r>
        <w:rPr>
          <w:b/>
        </w:rPr>
        <w:t>E. 6.4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référence).![endif]&gt;![if&gt;</w:t>
      </w:r>
    </w:p>
    <w:p>
      <w:r>
        <w:rPr>
          <w:b/>
        </w:rPr>
        <w:t>E. 6.4.1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6.4.2</w:t>
      </w:r>
    </w:p>
    <w:p>
      <w:r>
        <w:t>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7</w:t>
      </w:r>
    </w:p>
    <w:p>
      <w:r>
        <w:t>![endif]&gt;![if&gt;</w:t>
      </w:r>
    </w:p>
    <w:p>
      <w:r>
        <w:rPr>
          <w:b/>
        </w:rPr>
        <w:t>E. 7.1</w:t>
      </w:r>
    </w:p>
    <w:p>
      <w:r>
        <w:t>En l’espèce, le rapport d’expertise du Dr L______, établi le 30 août 2021 à la suite d’un examen clinique effectué le 2 août précédent, répond, sur le plan formel, aux exigences posées par la jurisprudence pour qu'on puisse lui accorder une pleine valeur probante : cette expertise a été conduite par un médecin praticien en vue d’établir une synthèse des différentes pathologies de l’expertisé, sur la base d'observations approfondies et d'investigations complètes, ainsi qu'en pleine connaissance du dossier. Cet expert a personnellement examiné le recourant préalablement à l'établissement de son rapport. Il a consigné les renseignements anamnestiques pertinents, recueilli les plaintes de l'assuré et résumé ses propres constatations. Il a en outre énoncé les diagnostics retenus et répondu à toutes les questions posées. Enfin, ses conclusions sont claires et suffisamment motivées.![endif]&gt;![if&gt;</w:t>
      </w:r>
    </w:p>
    <w:p>
      <w:r>
        <w:rPr>
          <w:b/>
        </w:rPr>
        <w:t>E. 7.2</w:t>
      </w:r>
    </w:p>
    <w:p>
      <w:r>
        <w:t>Il convient néanmoins de relever d’emblée que l’expert apparaît s’être concentré principalement sur les atteintes à la santé et leurs conséquences existant à l’époque de l’établissement de son rapport (en août 2021) et moins sur l’évolution de la situation médicale problématique de l’expertisé durant la relativement longue période litigieuse qui commence le 11 juin 2012.![endif]&gt;![if&gt; À cet égard, étaient considérés comme incapacitants par le SMR, le 1 er février 2017, l'angiosarcome de Kaposi (atteinte principale à la santé) et la "gonalgie droite avec méniscopathie dégénérative de la corne postérieure du ménisque interne", avec pour limitations fonctionnelles : pas de port de charges; pas de marche prolongée ou en terrain irrégulier; pas de position à genoux, ni accroupi; pas de position statique prolongée; impossibilité de porter des chaussures de sécurité; pas de montées répétées sur des escaliers, échelles et échafaudages; privilégier une activité sédentaire ou semi-sédentaire avec possibilité de changer de position à sa guise. En revanche, toujours selon le SMR, le 27 septembre 2021, l’atteinte principale, incapacitante, consiste en des varices des membres inférieurs, une chondrocalcinose et une atteinte méniscale du genou droit, de même qu’en une « fatigabilité liée au traitement antirétroviral, à une mauvaise utilisation du CPAP », ce de manière globalement conforme au rapport d’expertise (lequel retient une fatigabilité pour le même motif principal sous forme de besoin de sieste les après-midi) ; les limitations fonctionnelles retenues par l'expert sont reprises : "activité principalement assise, pas d'activité accroupie ni agenouillée, pas de montée ni de descente répétée d'escaliers, pas de travail en terrain accidenté, activité sollicitant principalement les membres supérieurs, pause d'environ 2h-3h après la prise du traitement antirétroviral".</w:t>
      </w:r>
    </w:p>
    <w:p>
      <w:r>
        <w:rPr>
          <w:b/>
        </w:rPr>
        <w:t>E. 7.3</w:t>
      </w:r>
    </w:p>
    <w:p>
      <w:r>
        <w:t>C’est sans référence à un quelconque fondement que l’intéressé a déclaré en audience ne pas se reconnaître dans le contenu de ce rapport d’expertise qui ne correspondrait selon lui pas à ce qu’il est. Ce d’autant moins que le recourant ne conteste pas pratiquer le vélo et apprécier le sport, assurer toutes les tâches des activités quotidiennes (notamment ménagères) sans l'aide d'une tierce personne et s'occuper seul une semaine sur deux de son fils âgé de 11 ans.![endif]&gt;![if&gt; Ni lui-même ni son avocat n’émettent des griefs précis contre ce rapport autres que les griefs qui suivent.</w:t>
      </w:r>
    </w:p>
    <w:p>
      <w:r>
        <w:rPr>
          <w:b/>
        </w:rPr>
        <w:t>E. 7.3.1</w:t>
      </w:r>
    </w:p>
    <w:p>
      <w:r>
        <w:t>L’expert, s’il a diagnostiqué des séquelles d'écrasement de d'amputation traumatique du membre supérieur (T92.6), soit "status post amputation P3D5 [gauche]", n’a pas tiré des conséquences de cette atteinte au plan de la capacité de travail.![endif]&gt;![if&gt; En audience, le recourant a montré la première phalange du petit doigt (auriculaire) qui avait été amputée en 1996 à la suite d’un accident de vélo. D’après ses explications, cette amputation a un effet très douloureux en cas de changement de temps (lorsqu'il fait froid ou chaud) ou lorsqu’il se cogne (car il n'y a rien au bout de cet auriculaire), et elle le gêne, en tant que droitier, pour porter des charges avec sa main gauche (parce qu’il ne peut rien porter sur la partie de la main qui est à la hauteur de l'auriculaire). L’absence de mention de limitations fonctionnelles comme conséquences de cette atteinte dans le rapport d’expertise prête certes à la critique, dans la mesure où on voit mal comment elle ne pourrait pas gêner, même d’une manière limitée, l’assuré en cas de port de charges d’un certain poids avec nécessité d’utiliser l’entier de la main gauche ou en cas de travaux de précision nécessitant l’utilisation de tous les doigts des deux mains. Néanmoins, dans les circonstances particulières du présent cas, cette omission de mention de limitations fonctionnelles sur ce point n’est en tant que telle pas suffisamment importante pour remettre en cause l’ensemble de la valeur probante de l’expertise et des conclusions de l’expert, ce d’autant moins que le dossier ne contient aucun rapport médical faisant état d’éventuelles conséquences incapacitantes de cette amputation. Il pourra en tout état de cause être tenu compte des conséquences de cette amputation sous forme de limitations fonctionnelles.</w:t>
      </w:r>
    </w:p>
    <w:p>
      <w:r>
        <w:rPr>
          <w:b/>
        </w:rPr>
        <w:t>E. 7.3.2</w:t>
      </w:r>
    </w:p>
    <w:p>
      <w:r>
        <w:t>L’absence de mention de l’aspect psychiatrique dans le chapitre « synthèse du dossier » au début du rapport d’expertise et d’analyse approfondie de cet aspect dans le reste du rapport d’expertise peut s’expliquer, à tout le moins, en partie, par le fait que des rapports médicaux portant sur les problèmes psychiques de l’intéressé ne paraissent avoir été présentés par celui que le 17 mai 2023, au stade de la procédure de recours et sur demande expresse de la chambre de céans. Au demeurant, l’expert a traité la problématique psychiatrique dans son expertise, puisqu’il expose : « Aucune constatation psychique n’est relevée durant l'expertise; notamment l'expertisé demeure euthymique, sans idées délirantes, sans trouble du cours de la pensée et sans hallucination ».![endif]&gt;![if&gt; Quoi qu’il en soit, les rapports du département de psychiatrie (service de psychiatrie de liaison et d’intervention de crise) des HUG de 2009, 2017 et 2020 ainsi que le rapport d’évaluation psychologique établi par une psychologue le 5 octobre 2021 ne posent pas de diagnostics au plan psychiatrique concernant la période en cause (qui commence en juin 2012). Il ne se prononcent pas non plus clairement sur des questions de capacité de travail, limitations fonctionnelles et/ou rendement, ni ne contiennent des constatations ou appréciations susceptibles d’avoir des effets incapacitants et invalidants particuliers. En effet, les diagnostics les plus graves qui y sont énoncés sont, en 2017, la présence d’une thymie triste associée à des troubles du sommeil et, en 2020, un épisode dépressif léger avec détresse anxieuse. Or, selon la jurisprudence,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En outre,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En l’occurrence, on ne se trouve dans aucune des situations mentionnées par cette jurisprudence comme pouvant rendre nécessaire une procédure de preuve structurée. En particulier, il ressort des rapports du département de psychiatrie (service de psychiatrie de liaison et d’intervention de crise) des HUG ainsi que du rapport d’évaluation psychologique précités que les troubles psychiques de l’assuré n’ont à aucun moment été durables. Au surplus, le rapport d’évaluation psychologique susmentionné ne confirme pas les plaintes du patient relatives à « une importante thymie triste » avec la présence d’idées suicidaires scénarisées qui y sont mentionnées. Au demeurant, les souffrances psychiques dont font état ces rapports apparaissent être en très grande partie liées à des difficultés psychosociales qui apparaissent jouer un rôle de premier plan, comme cela ressort desdits rapports tels que résumés dans l’état de fait du présent arrêt de même que de certains rapports de la Dresse I______, médecin généraliste traitante. Or,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Les griefs du recourant afférents à l’absence de prise en compte de l’aspect psychiatrique dans le rapport d’expertise tombent dès lors à faux. Il est précisé que la composante psychique et la surcharge mentale présentées par le VIH (potentiellement mortel sans traitement) mentionnées le 6 avril 2022 par la médecin généraliste traitante ne sauraient en tant que telles être une cause d’incapacité de travail mais apparaissent incluses dans l’ensemble du tableau médical. Pour le reste, la question des idées suicidaires causées par le précédent traitement antirétroviral sera prise en compte plus bas sous l’angle de l’évolution de l’état de santé et des effets de ce dernier.</w:t>
      </w:r>
    </w:p>
    <w:p>
      <w:r>
        <w:rPr>
          <w:b/>
        </w:rPr>
        <w:t>E. 7.3.3</w:t>
      </w:r>
    </w:p>
    <w:p>
      <w:r>
        <w:t>Concernant le grief d’absence de prise en considération par le rapport d’expertise des limitations induites par les problèmes dermatologiques sous la forme de plaies de sarcome de Kaposi, il convient tout d’abord de relever que l’expert retient cette atteinte au titre de diagnostic, mais sans caractère incapacitant, et ce de la manière suivante : sarcome de Kaposi de la peau (C46.0), l'examen montrant des lésions hyperkératosiques avec croûtes de sang sur le coude droit, le mollet droit, le creux poplité et le mollet et face antérieure du membre inférieur gauche, ainsi que de multiples cicatrices d'ablation de lésion de Kaposi dont une en regard du bord interne supérieur de la rotule droite . Au surplus, sous le point « affection actuelle et évolution » sous « entretien approfondi sur les thèmes suivants », l’expert relate : « [L’expertisé] présente un syndrome de Kaposi sur l’hémicorps droit, récidivant (notamment au niveau du coude et du mollet droit) malgré des traitements successifs ».![endif]&gt;![if&gt; Le fait que l’expert ne retienne pas d’effet incapacitants du sarcome de Kaposi s’explique selon toute vraisemblance en grande partie par le fait qu’au moment de l’établissement de l’expertise en août 2021, cette affection, qui avait fait l’objet de plusieurs traitements, se trouvait à l’arrière-plan par rapport aux pathologies reconnues comme incapacitantes par l’expert, alors qu’elle était au premier plan entre 2012 et 2014 à tout le moins comme cela ressort notamment des rapports établis durant cette période ainsi que d’une réponse du 12 mai 2023 du Dr P______ d’après lequel, « selon l’examen des rapports dermatologique de l’époque (2012, 2013), le patient dans cadre du sarcome de Kaposi a présenté un syndrome de Kaposi avec une poussée lymphœdémateuse du membre inférieur droit qui peut entraîner des limitations fonctionnelles tout comme la composante de lymphœdème chronique séquellaire selon son degré ». Toutefois, il ne ressort pas du dossier que les gênes causées par ledit syndrome de Kaposi auraient entièrement cessé. En outre, l’expert n’explique pas précisément pour quels motifs les lésions hyperkératosiques avec croûtes de sang constatées ne causeraient pas des limitations fonctionnelles. Or, à teneur des déclarations du recourant en audience, le sarcome de Kaposi est très gênant car il attaque la peau sur toutes les parties des jambes, et cela le gênerait pour un emploi : en effet, ce trouble occasionne des douleurs et des brûlures, et il est pénible de mettre des chaussures car il n'a plus d'ongles mais des mycoses qui sont brûlées au laser. De telles gênes sont confirmées par le rapport du 12 mai 2023 du Dr P______ selon lequel les plaies liées au syndrome de Kaposi sont « responsables d’une sensation de brûlure et de prurigo avec un effet uniquement temporaire des séances de photothérapie et des emballements par dermocorticoïdes proposés par les dermatologues ». Il faut en conclure ce qui suit : entre 2012 et 2014 à tout le moins, le sarcome de Kaposi a été la cause d’importantes douleurs et de difficultés lors de la marche ou de la station debout prolongée, comme cela ressort notamment du rapport de la Dresse I______ du 29 mars 2017, étant précisé que l’expert a admis lui aussi cette limitation fonctionnelle en préconisant une « activité adaptée principalement assis », ni accroupie, ni agenouillée, et sollicitant principalement les membres supérieurs, en raison non du sarcome de Kaposi mais des varices des membres inférieurs ainsi que de la chondrocalcinose et de la lésion interne du genou droit ; en parallèle, pendant ladite période (de 2012 à 2014 à tout le moins) et encore actuellement, l’intéressé présente, en raison du sarcome de Kaposi, une limitation fonctionnelle consistant en l’impossibilité de porter des chaussures de sécurité (mentionnée le 1 er février 2017 par le SMR), ce à quoi s’ajoutent des sensations de brûlures et de prurigo. L’impossibilité de porter des chaussures de sécurité et la gêne en raison de sensations de brûlures et de prurigo, doivent donc être ajoutées aux limitations fonctionnelles reconnues par l’expert et (le 27 septembre 2021) par le SMR, sans que cela ne remette en cause la valeur probante de l’entier du rapport d’expertise.</w:t>
      </w:r>
    </w:p>
    <w:p>
      <w:r>
        <w:rPr>
          <w:b/>
        </w:rPr>
        <w:t>E. 7.3.4</w:t>
      </w:r>
    </w:p>
    <w:p>
      <w:r>
        <w:t>Enfin, se pose la question de savoir si, comme soutenu par le conseil de l’assuré lors de l’audience, le rapport d’expertise n’aurait pas tenu suffisamment compte de la « grande » fatigue de celui-ci due à ses problèmes cumulés et le cas échéant susceptible de réduire son rendement.![endif]&gt;![if&gt; Selon l’intéressé en audience, sa fatigue est due à l'ensemble de ses problèmes, pas seulement au médicament Genvoya : il y a l'hépatite C, le syndrome de Kaposi, et il a « eu le zona aussi ». L'hépatite C (traitée en 2018) est guérie, mais il doit contrôler sa consommation d'alcool car elle attaque le foie ; « l'arrêt de la consommation d'alcool [est] la partie la plus compliquée car [il est] "addict" ». Or l’expert a considéré comme plausible comme "trouble fonctionnel" l'état de fatigue, rapporté anamnestiquement par l'expertisé mais non constaté lors de l’examen clinique, mais il a estimé que cet état pouvait être amélioré, en vue d'une amélioration de la capacité de travail, sous différents angles : amélioration du contenu de l'alimentation, notamment par le sevrage alcoolique; utilisation plus régulière de la CPAP pour l'obtention d'un sommeil réparateur; perte de poids pour diminuer la fatigue mécanique ; "discussion avec l'infectiologue du déplacement du traitement antirétroviral le soir en raison de l'asthénie induite si possible", cette dernière mesure étant selon l’expert de nature à permettre le recouvrement d'une pleine capacité de travail avec rendement total. Le SMR, dans son rapport du 27 septembre 2021, suit globalement cette appréciation à l’exception de la possibilité éventuelle d’un déplacement du traitement antirétroviral le soir. Il sied ici de rappeler qu’en vertu de l’art. 7 al. 2 in fine LPGA, il n'y a incapacité de gain que si celle-ci n'est pas objectivement surmontable. Concernant la recommandation de l’expert relative à la perte de poids, l’assuré cherche, d’après ses explications en audience, à réduire son poids avec une amélioration lente et progressive, notamment avec l’aide d’une diététicienne des HUG. Son utilisation insuffisante par le passé de la CPAP s’explique en partie par ses difficultés psychosociales liées entre autres à l’absence de logement fixe. Il découle en outre des réponses du 26 mai 2023 du Dr P______ qu’un déplacement de l’heure de prise de l’antirétroviral du repas de midi à celui du soir serait source de nombreuses complications sans qu’il soit certain que cela se révèle concrètement possible. En effet, le Genvoya doit impérativement être pris avec un repas consistant (riche en lipides), et il n’est pas établi qu’un tel repas riche soit concrètement possible ou souhaitable le soir, notamment sous l’angle diététique et de l’équilibre de vie de l’intéressé. Un déplacement de prise du Genvoya du repas de midi vers celui du soir n’apparaît donc pas exigible, de sorte que l’expert ne peut pas être suivi lorsqu’il soutient qu’une telle mesure serait de nature à permettre le recouvrement d'une pleine capacité de travail avec rendement total. Ainsi, s’agissant de la fatigabilité, un manquement doit être reproché au recourant uniquement concernant la continuation de sa consommation excessive d’alcool, l’intéressé n’ayant pas montré accomplir suffisamment d’efforts pour s’en extraire, se contentant de dire que c’était l’effort le plus difficile pour lui car il serait « addict ». Dans ces circonstances, une certaine fatigue (ou asthénie) non réductible par des traitements ou mesures exigibles doit être considérée comme établie. La part de fatigue due non à la prise du Genvoya mais, indépendamment du besoin de sieste les après-midi, au cumul des pathologies et traitements, dans un contexte de VIH et d’hépatite C ayant été traités avec succès, ne saurait, contrairement à ce que considère l’expert, être entièrement exclue grâce à une amélioration en matière d'alimentation, à un sevrage alcoolique et à l’utilisation plus régulière de la CPAP pour l'obtention d'un sommeil réparateur. C’est surtout à cause de la « grande » fatigue qui serait due à ses problèmes cumulés que l’intéressé fait valoir, en plus de l’incapacité de travail de 25% admise par l’expert, une baisse de rendement. Compte tenu de l’ensemble des circonstances particulières, une diminution de rendement pour cause uniquement de fatigue doit être admise à hauteur de 5%. Une baisse de rendement supérieure à ce 5% est exclue ; en effet, la réduction du temps de travail occasionnée par le besoin de sieste chaque après-midi à la suite de la prise du Genvoya réduit déjà les conséquences de la fatigue ; en outre, ladite fatigue aurait pu et pourrait être diminuée de manière exigible par l’arrêt de la consommation excessive d’alcool et en partie par des solutions pour utiliser la CPAP ; enfin, cette fatigue apparaît limitée dans ses effets et n’empêche pas l’intéressé de pratiquer le vélo et apprécier le sport, assurer seul toutes les tâches des activités quotidiennes (notamment ménagères) et s'occuper seul une semaine sur deux de son fils. Quant à la fatigue causée par la prise de Genvoya, elle se concrétise essentiellement dans le besoin impérieux pour le recourant de faire une sieste d’une durée de 2 à 3 heures chaque après-midi, point qui sera examiné ci-après.</w:t>
      </w:r>
    </w:p>
    <w:p>
      <w:r>
        <w:rPr>
          <w:b/>
        </w:rPr>
        <w:t>E. 7.4</w:t>
      </w:r>
    </w:p>
    <w:p>
      <w:r>
        <w:t>Au regard des considérations qui précèdent et en suivant les conclusions de l’expert dont la valeur probante du rapport doit être admise avec les compléments indiqués ci-dessus, sans qu’un éventuel complément d’expertise ou une éventuelle expertise judiciaire se justifient, la capacité de travail du recourant est nulle dans l'activité habituelle d'aide monteur électricien, dès le 11 juin 2012.![endif]&gt;![if&gt; Une activité adaptée consiste, vu l’avis de l’expert, en une « activité adaptée principalement assis, pas d'activité accroupie ni agenouillée, pas de montée ni de descente répétée d'escaliers, pas de travail en terrain accidenté, activité sollicitant principalement les membres supérieurs, pause d'environ 2 à 3 heures après la prise du traitement antirétroviral ». À ces limitations fonctionnelles doivent être ajoutées : évitement du port de charges d’un certain poids nécessitant d’utiliser l’entier de la main gauche ainsi que des travaux de précision nécessitant l’utilisation de tous les doigts des deux mains ; impossibilité de porter des chaussures de sécurité ; gêne en raison de sensations de brûlures et de prurigo. L’ensemble de ces limitations fonctionnelles sera pris en compte plus bas dans le cadre de l’examen d’un éventuel abattement sur le revenu d’invalide. Ces limitations fonctionnelles ainsi que le degré d’incapacité de travail et de rendement doivent être considérés comme n’ayant pas évolué de manière significative entre le 11 janvier 2013 (date à partir de laquelle une capacité de travail de 75% dans une activité adaptée est retenue par l’expert) et le 10 janvier 2022 (date du prononcé de la décision querellée). En effet, d’une part, les pathologies les plus incapacitantes ont changé au cours du temps mais avec des effets sur la capacité de travail comparables, et les effets secondaires du précédent antirétroviral Triumeq de type état dépressif avec idées suicidaires ont été remplacés, avec une portée incapacitante très vraisemblablement similaire, par une fatigue importante avec des vertiges (nécessitant une sieste de 2 à 3 heures l’après-midi) sous le traitement par le nouvel antirétroviral Genvoya à partir de 2017 ; d’autre part, selon les déclarations de l’intéressé en audience, il n'y a eu ni aggravation, ni amélioration de son état de santé et de sa capacité de travail depuis 2012. Comme retenu par l’expert, la capacité de travail dans une telle activité adaptée a été nulle à partir du 11 juin 2012, de 50% dès le 14 décembre 2012, à la suite notamment de la reprise du traitement antirétroviral. Selon l’expert, la capacité de travail a, ensuite, été de 75%, depuis le 11 janvier 2013. Sur ce point, le SMR et l’OAI ne justifient pas de manière motivée pour quels motifs elle serait de 100% - et non de 75% - dès le 1 er mai 2013. Ce taux de 75% – 6 heures de travail par jour sur 8 heures pour un temps complet, selon l’expert – inclut le temps de pause nécessaire les après-midi après la prise du Genvoya. Le recourant ne conteste pas clairement ces degrés de capacité de travail. Néanmoins, il allègue avoir besoin d’une sieste de 3 heures (et non 2 heures seulement), 1h30 après la prise du Genvoya. Or, à teneur du rapport d’expertise, il lui faut une « pause d'environ 2-3 heures après la prise du traitement antirétroviral », avec un temps de présence maximal au travail de 6 heures par jour. Ce n’est que lors de l’audience que l’assuré, après avoir allégué dans ses écritures en procédure de recours soit 2 à 3 heures soit 3 à 4 heures, a fait clairement état d’un besoin de sieste de 3 heures, et pas seulement 2 heures, de sorte qu’une durée de 3 heures n’est pas démontrée comme étant nécessaire chaque jour. Dans ces circonstances, il se justifie de retenir un besoin de sieste les après-midi d’une durée moyenne, c’est-à-dire 2h30, ce d’autant plus qu’il pourrait être le cas échéant compliqué pour un employeur potentiel d’aménager des après-midi de travail avec 2 à 3 heures de sieste 1h30 après un repas de midi par exemple de 12h00 à 12h30, lesdites après-midi étant en effet entrecoupées de 14h00 à 16h00 ou 17h00. Cette durée de sieste de 2h30 fait monter le taux d’incapacité de travail dans une activité adaptée de 25% à 30% ([2,5 x 100] / 8,3 équivalant à 41,7 heures divisées par 5, puisqu’il convient de se référer à la moyenne – statistique – des heures travaillées en Suisse de 41,7 heures). Partant, une incapacité de travail – incluant la baisse de rendement de 5% due à la fatigue comme retenu plus haut - doit être reconnue à hauteur de 35% au total.</w:t>
      </w:r>
    </w:p>
    <w:p>
      <w:r>
        <w:rPr>
          <w:b/>
        </w:rPr>
        <w:t>E. 7.5</w:t>
      </w:r>
    </w:p>
    <w:p>
      <w:r>
        <w:t>Le recourant, considéré de manière non contestée comme ayant le statut d’actif à 100% – personne employée –, n’émet pas de griefs précis contre la comparaison des revenus effectuée par l’intimé dans sa décision querellée, selon le premier calcul uniquement tel que déjà fait le 13 février 2017 puis confirmé le 14 mars 2023 par celui-ci.![endif]&gt;![if&gt;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Il s’agit en l’occurrence de l’année 2013. Le revenu sans invalidité a été fixé par l’OAI avec une référence au salaire indiqué pour 2011 par l’extrait du compte individuel AVS (ci-après : CI) de l’assuré, à savoir CHF 50'412.- ainsi qu’au salaire d’aide monteur électricien tel qu’annoncé par l’employeur dans un questionnaire rempli le 22 novembre 2012, soit le salaire horaire total de CHF 30.16 (incluant les indemnités de vacances et de jours fériés ainsi que le 13 ème salaire) multiplié par 40 heures par semaine (8 heures par jour pendant cinq jours) et par 48 semaines, ce qui donne CHF 57'907.-, indexé en 2013 pour atteindre CHF 58'787.- (supérieur à celui résultant du seul CI). Interpelé par la chambre de céans, l’intimé a répondu – de manière convaincante – le 14 mars 2023 que le nombre annuel de semaines retenu n’était pas 52 (4 1/3 semaines par mois à 40 heures de travail selon l’ESS 2012), mais 48 afin que les vacances ne soient comptabilisées à deux reprises (52 semaines – 4 semaines de vacances = 48 semaines). Le revenu – brut – sans invalidité de CHF 58’787.- apparaît ainsi avoir été correctement calculé. Apparaît également conforme au droit (cf. notamment ATF 143 V 295 consid. 2.2 et la référence ; ATF 135 V 297 consid. 5.2 et les références ; ATF 126 V 75 consid. 3b/bb ; ATF 124 V 321 consid. 3b/aa) le revenu – brut – avec invalidité calculé par l’office, pour lequel ce dernier s’est référé au revenu statistique tiré d’activités simples et répétitives (niveau de compétences 1) pour un homme selon l’ESS 2012, TA1_tirage_skill_level, soit CHF 5'210.- par mois, adapté à la durée normale de travail de 41,7 heures et indexé à 2013, le revenu annuel s’élevant ainsi à CHF 65'654.- pour un taux de 100%. À cet égard, contrairement à ce que semble faire valoir le recourant, il existe des emplois en nombre suffisant compatibles avec les limitations fonctionnelles liées à son état de santé, l'assuré pouvant être en mesure de travailler par exemple comme manutentionnaire en atelier avec ses bras et mains, sur des objets qui ne sont pas lourds et en tenant compte des limitations causées par l’amputation à l’auriculaire de la main gauche, et sans être debout pour une durée prolongée ni accroupi ou agenouillé. On ne se trouve ainsi pas en l’occurrence dans un cas où il conviendrait de s'écarter de la notion de marché équilibré du travail, dans le cadre duquel, notamment, l'activité exigible au sens de l'art. 16 LPGA, ne pourrait être exercée que sous une forme tellement restreinte qu'elle n'existerait quasiment pas sur le marché général du travail ou que son exercice impliquerait d’un employeur des concessions irréalistes et que, de ce fait, il semblerait exclu de trouver un emploi correspondant (cf. RCC 1991 p. 329; RCC 1989 p. 328; arrêts du Tribunal fédéral 9C_286/2015 du 12 janvier 2016 consid. 4.2 et 9C_659/2014 du 13 mars 2015 consid. 5.3.2), le caractère irréaliste des possibilités de travail devant ici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rPr>
          <w:b/>
        </w:rPr>
        <w:t>E. 7.6</w:t>
      </w:r>
    </w:p>
    <w:p>
      <w:r>
        <w:t>Reste à examiner la question de l’abattement par rapport au revenu avec invalidité, que le recourant fixe à 15% au lieu du taux de 10% retenu par l’intimé.![endif]&gt;![if&gt;</w:t>
      </w:r>
    </w:p>
    <w:p>
      <w:r>
        <w:rPr>
          <w:b/>
        </w:rPr>
        <w:t>E. 7.6.1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3.3).![endif]&gt;![if&gt; S’agissant de la casuistique, par exemple, un taux d'abattement de 5% a été retenu par le Tribunal fédéral pour un assuré de 46 ans présentant un nombre non négligeable de limitations fonctionnelles (cf. arrêt du Tribunal fédéral 9C_160/2014 du 30 juin 2014), pour un assuré né en 1952 ayant une prothèse unicompartementale du genou droit et ne pouvant mettre à profit sa capacité résiduelle de travail dans des activités légères, essentiellement sédentaires (évitement du port de charges supérieures à 10 kg, des montées d'escaliers, des déplacements rapides et des positions agenouillées; cf. arrêt du Tribunal fédéral 8C_196/2022 précité consid. 7.3), de même que pour une assurée née en 1962, de langue maternelle étrangère et invoquant des difficultés en français, avec comme limitations fonctionnelles l'évitement du port répété de charges supérieures à 5-10 kg, des activités nécessitant le maintien du membre supérieur droit au-dessus du niveau des épaules et la priorité pour les activités coude au corps (cf. arrêt du Tribunal fédéral 8C_608/2021 précité consid. 4.3). De surcroît, des abattements de 10% et 15% ont été confirmés par la Haute Cour dans des cas de non-usage de la main et du bras gauches, respectivement de restrictions d’usage de la main et du bras droits que la personne assurée pouvait néanmoins utiliser de multiples façon en évitant les poids supérieurs à 5 kg ainsi que les coups, les vibrations et les rotations fréquentes de la main droite, compte tenu de l’existence dans le marché du travail équilibré d’emplois compatibles avec ces limitations (cf. arrêts du Tribunal fédéral 8C_366/2013 du 18 juin 2013 consid. 4.2 ; 8C_350/2013 du 5 juillet 2013 consid. 3.3). Par ailleurs,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 L'abattement doit être appliqué au revenu d'invalide et ne saurait en aucun cas s'additionner au taux de la diminution de rendement – ou d’incapacité de travail - , mais, concrètement, il convient d'appliquer l'abattement (par exemple de 10%) à la part du salaire statistique que la personne assurée est toujours susceptible de réaliser malgré sa baisse de rendement de par exemple 30% (10% de 70%, soit 7%), puis de déduire le résultat obtenu de ladite part salariale (70% - 7% = 63% ; arrêt du Tribunal fédéral 9C_692/2017 du 12 mars 2018 consid. 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(ATF 130 V 121 consid. 3.2).</w:t>
      </w:r>
    </w:p>
    <w:p>
      <w:r>
        <w:rPr>
          <w:b/>
        </w:rPr>
        <w:t>E. 7.6.2</w:t>
      </w:r>
    </w:p>
    <w:p>
      <w:r>
        <w:t>En l’espèce, à ce stade du raisonnement, le taux d'abattement de 15% soutenu par le recourant – contre 10% selon l’intimé – ne peut pas d'emblée être considéré comme établi, ni être exclu, compte tenu de l'ensemble des circonstances particulières, notamment l'absence de désavantage lié à l'âge (38 ans en 2013, 48 ans en 2022) ainsi que les difficultés liées aux limitations fonctionnelles retenues par l'expert et le SMR puis encore complétées plus haut de même que la possible perte de salaire due au temps partiel. Un taux d’abattement supérieur à 15% doit en revanche en tout état de cause être exclu, au regard notamment de la casuistique développée par le Tribunal fédéral.![endif]&gt;![if&gt; Quoi qu’il en soit, la question de savoir si le taux d’abattement de 15% peut ou non être appliqué (au lieu de celui de 10%) peut demeurer indécise pour les motifs qui suivent. En effet, même si l’on applique un taux d’abattement de 15%, on parvient à ce qui suit : sur la part de salaire statistique que l’assuré peut encore obtenir sur la base de 35% d’incapacité de travail dans une activité adaptée, soit CHF 42'675.- (CHF 65'654.- - 35%, ou 65% de CHF 65'654.-), un abattement de 15% donnerait CHF 36'274.- (arrondi) de revenu avec invalidité (85% de CHF 42'675.-), ce, qui, comparé avec le revenu sans invalidité de CHF 58'787.-, correspond à 61,70%, arrondi à 62%, donc à un degré d’invalidité de 38% (100 – 62).</w:t>
      </w:r>
    </w:p>
    <w:p>
      <w:r>
        <w:rPr>
          <w:b/>
        </w:rPr>
        <w:t>E. 7.7</w:t>
      </w:r>
    </w:p>
    <w:p>
      <w:r>
        <w:t>Ce degré d’invalidité de 38% est inférieur au taux de 40% requis pour l’octroi d’une rente AI, et la période en 2012-2013 durant laquelle ce taux de 40% a pu le cas échéant être atteint ou dépassé a été inférieure à une année (cf. art. 28 al. 1 let. b LAI a contrario ), de sorte qu’est exclu le droit de l’assuré à une telle prestation.![endif]&gt;![if&gt;</w:t>
      </w:r>
    </w:p>
    <w:p>
      <w:r>
        <w:rPr>
          <w:b/>
        </w:rPr>
        <w:t>E. 8</w:t>
      </w:r>
    </w:p>
    <w:p>
      <w:r>
        <w:t>Vu ce qui précède, le recours sera rejeté.![endif]&gt;![if&gt;</w:t>
      </w:r>
    </w:p>
    <w:p>
      <w:r>
        <w:rPr>
          <w:b/>
        </w:rPr>
        <w:t>E. 9</w:t>
      </w:r>
    </w:p>
    <w:p>
      <w:r>
        <w:t>Bien que la procédure ne soit pas gratuite en matière d'assurance-invalidité (art. 69 al. 1bis LAI), il convient de renoncer à la perception d'un émolument, le recourant étant au bénéfice de l'assistance juridique (art. 69 al. 1bis LAI et 13 al. 1 du règlement sur les frais, émoluments et indemnités en procédure administrative du 30 juillet 1986 [RFPA - E 5 10.03]).![endif]&gt;![if&gt;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