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A/506/2007 vom 7. März 2007</w:t>
      </w:r>
    </w:p>
    <w:p>
      <w:r>
        <w:t>GE Cour de justice, 2007-03-07, FR</w:t>
      </w:r>
    </w:p>
    <w:p>
      <w:r>
        <w:rPr>
          <w:b/>
        </w:rPr>
        <w:t xml:space="preserve">Quelle: </w:t>
      </w:r>
      <w:r>
        <w:t>https://mcp.opencaselaw.ch/entscheid/ge_gerichte_A_506_2007</w:t>
      </w:r>
    </w:p>
    <w:p>
      <w:r>
        <w:t>FR: GE_GERICHTE A/506/2007 du 7 mars 2007</w:t>
      </w:r>
    </w:p>
    <w:p>
      <w:r>
        <w:t>IT: GE_GERICHTE A/506/2007 del 7 marzo 2007</w:t>
      </w:r>
    </w:p>
    <w:p>
      <w:pPr>
        <w:pStyle w:val="Heading2"/>
      </w:pPr>
      <w:r>
        <w:t>Regeste</w:t>
      </w:r>
    </w:p>
    <w:p>
      <w:r>
        <w:t>Notification. Commandement de payer. | LaLP.13</w:t>
      </w:r>
    </w:p>
    <w:p>
      <w:pPr>
        <w:pStyle w:val="Heading2"/>
      </w:pPr>
      <w:r>
        <w:t>Erwägungen</w:t>
      </w:r>
    </w:p>
    <w:p>
      <w:r>
        <w:rPr>
          <w:b/>
        </w:rPr>
        <w:t>E. 1</w:t>
      </w:r>
    </w:p>
    <w:p>
      <w:r>
        <w:t>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2</w:t>
      </w:r>
    </w:p>
    <w:p>
      <w:r>
        <w:t>En l’espèce, par courrier recommandé expédié le 13 février 2007, la Commission de céans a imparti au plaignant un délai au 23 février 2007 pour produire la décision attaquée. Le plaignant n'a pas retiré ce courrier à la poste et partant, n’a pas donné suite à l’injonction de la Commission de céans. Sa plainte sera par conséquent déclarée irrecevable, étant rappelé qu'un acte judiciaire, objet d'une tentative infructueuse de notification par la poste, est réputé notifié le septième jour après cette tentative si le destinataire ne le retire pas (ATF 127 I 31 consid. 2a/aa). * * * * * PAR CES MOTIFS, LA COMMISSION DE SURVEILLANCE SIÉGEANT EN SECTION : Déclare irrecevable la plainte formée le 9 février 2007 par M. O______ dans le cadre de la poursuite n° 06 xxxx39 U. Siégeant : M. Grégory BOVEY, président ; M. Didier BROSSET, juge assesseur, et Mme Valérie CARERA, juge assesseure suppléante.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