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A/5068/2017 vom 27. Februar 2018</w:t>
      </w:r>
    </w:p>
    <w:p>
      <w:r>
        <w:t>GE Cour de justice, 2018-02-27, FR</w:t>
      </w:r>
    </w:p>
    <w:p>
      <w:r>
        <w:rPr>
          <w:b/>
        </w:rPr>
        <w:t xml:space="preserve">Quelle: </w:t>
      </w:r>
      <w:r>
        <w:t>https://mcp.opencaselaw.ch/entscheid/ge_gerichte_A_5068_2017</w:t>
      </w:r>
    </w:p>
    <w:p>
      <w:r>
        <w:t>FR: GE_GERICHTE A/5068/2017 du 27 février 2018</w:t>
      </w:r>
    </w:p>
    <w:p>
      <w:r>
        <w:t>IT: GE_GERICHTE A/5068/2017 del 27 febbraio 2018</w:t>
      </w:r>
    </w:p>
    <w:p>
      <w:pPr>
        <w:pStyle w:val="Heading2"/>
      </w:pPr>
      <w:r>
        <w:t>Erwägungen</w:t>
      </w:r>
    </w:p>
    <w:p>
      <w:r>
        <w:rPr>
          <w:b/>
        </w:rPr>
        <w:t>E. 1</w:t>
      </w:r>
    </w:p>
    <w:p>
      <w:r>
        <w:t>ère Chambre En la cause Madame A______, domiciliée à GENÈVE recourante contre CAISSE DE CHOMAGE SYNA, Administration centrale Suisse Romande, sise rte du Petit-Moncor 1a, VILLARS-GLÂNE intimée EN FAIT 1.        Madame A______ (ci-après l’intéressée), née le ______ 1984, s’est inscrite auprès de l’office cantonal de l’emploi le 19 septembre 2016. Durant son délai-cadre de cotisation, elle a travaillé du 1 er janvier 2015 au 31 mars 2016 auprès de la société B______ SA, du 1 er mai 2015 au 15 novembre 2016 auprès de la société C______ SA, du 1 er janvier au 30 juin 2016 auprès de la société D______ SA, et du 1 er janvier 2016 au 30 avril 2016 auprès de la société E______ SA, à temps partiel pour chacune des sociétés. Son époux, Monsieur F______, est inscrit au Registre du commerce, comme directeur ou administrateur titulaire de la signature individuelle. ![endif]&gt;![if&gt; 2.        Par décision du 22 décembre 2016, confirmée sur opposition le 9 novembre 2017, la caisse de chômage SYNA (ci-après la caisse) a nié le droit de l’intéressée à l’indemnité de chômage à compter du 19 septembre 2016, au motif qu’elle avait une position assimilable à un employeur du fait de son époux.![endif]&gt;![if&gt; 3.        L’intéressée a, par courrier daté du 9 décembre 2017 et posté le 27 décembre 2017, interjeté recours contre ladite décision sur opposition.![endif]&gt;![if&gt; 4.        Dans sa réponse du 8 janvier 2018, la caisse s’interroge sur la recevabilité du recours et conclut, au fond, à son rejet. Il ressort en effet du « Track &amp; Trace » postal produit par la caisse que sa décision du 9 novembre 2017 a été notifiée au mandataire de l’intéressée le 10 novembre 2017.![endif]&gt;![if&gt; 5.        Par courrier du 12 janvier 2018, la chambre de céans a invité l’intéressée à lui faire part d’éventuelles circonstances qui l’auraient empêchée d’agir dans le délai légal de trente jours.![endif]&gt;![if&gt; 6.        Celle-ci ne s’est pas manifestée.![endif]&gt;![if&gt;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 ![endif]&gt;![if&gt; 3.        a.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d.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La jurisprudence est stricte et il faut un véritable cas de force majeure, la maladie ne pouvant impliquer une absence de faute que si elle empêche effectivement l'intéressé d'agir par lui-même ou par l'entremise d'un représentant (T. TANQUEREL, Manuel de droit administratif, 2011, n° 1348). 4.        En l'occurrence, la décision querellée a été notifiée au mandataire de l’intéressée le 10 novembre 2017, de sorte que le délai de recours de trente jours a commencé à courir le 11 novembre 2017 et est parvenu à échéance le dimanche 10 décembre 2017, délai reporté au prochain jour utile, soit au lundi 11 décembre 2017.![endif]&gt;![if&gt; Force est ainsi de constater que le recours interjeté le 27 décembre 2017 ne l’a pas été en temps utile. 5.        Reste à examiner la possibilité d’une restitution du délai de recours au sens de l'art. 41 al. 1 LPGA.![endif]&gt;![if&gt; Il y a à cet égard lieu de constater que l’intéressée n'a invoqué aucun empêchement expliquant la tardiveté de son recours. 6.        En conséquence, le recours ne peut qu'être déclaré irrecevable pour cause de tardiveté.![endif]&gt;![if&gt;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