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A/503/2004 vom 12. Dezember 2003</w:t>
      </w:r>
    </w:p>
    <w:p>
      <w:r>
        <w:t>GE Cour de justice, 2003-12-12, FR</w:t>
      </w:r>
    </w:p>
    <w:p>
      <w:r>
        <w:rPr>
          <w:b/>
        </w:rPr>
        <w:t xml:space="preserve">Quelle: </w:t>
      </w:r>
      <w:r>
        <w:t>https://mcp.opencaselaw.ch/entscheid/ge_gerichte_A_503_2004</w:t>
      </w:r>
    </w:p>
    <w:p>
      <w:r>
        <w:t>FR: GE_GERICHTE A/503/2004 du 12 décembre 2003</w:t>
      </w:r>
    </w:p>
    <w:p>
      <w:r>
        <w:t>IT: GE_GERICHTE A/503/2004 del 12 dicembre 2003</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w:t>
      </w:r>
    </w:p>
    <w:p>
      <w:r>
        <w:rPr>
          <w:b/>
        </w:rPr>
        <w:t>E. 2</w:t>
      </w:r>
    </w:p>
    <w:p>
      <w:r>
        <w:t>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1er août 2003 (art. 1 let. r et 56V al. 1 let. b LOJ), doit, après que l'affaire lui a été transmise (art. 142 CC), exécuter d'office le partage sur la base de la clé de répartition déterminée par le juge du divorce.</w:t>
      </w:r>
    </w:p>
    <w:p>
      <w:r>
        <w:rPr>
          <w:b/>
        </w:rPr>
        <w:t>E. 3</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w:t>
      </w:r>
    </w:p>
    <w:p>
      <w:r>
        <w:rPr>
          <w:b/>
        </w:rPr>
        <w:t>E. 5</w:t>
      </w:r>
    </w:p>
    <w:p>
      <w:r>
        <w:t>En l’espèce, le juge de première instance a ordonné le partage par moitié des avoirs acquis pendant la durée du mariage, soit du 25 mars 1992 au 3 février 2004, date à laquelle le jugement de divorce est devenu exécutoire, ce qui n’est pas contesté par les parties. Il ressort du dossier que la demanderesse n’a acquis aucune prestation pendant le mariage. S’agissant du demandeur et compte tenu du défaut de collaboration de ce dernier, les recherches se sont révélées ardues. En définitive, l’instruction du dossier a permis d’établir la situation suivante : période de cotisation employeur caisse montant PLP remarque 1992 administration fédérale PUBLICA aucune cotisation 1992 X__________ SA ----- aucune cotisation 1993 VAUDOISE Fr. 1'922.35 montant transféré à la CPPMC en date du 19 mars 1993 du 1 er fév. 1993 au 28 oct. 1994 Y__________ CPPMC Fr. 8'581.25 montant transféré à la CIEPP en date du 1 er mai 1999 1993-1996 administration fédérale des douanes PUBLICA aucune cotisation juin 1996 Z__________ SA CIEPP Fr. 8'774.65 montant transféré à l’Institution supplétive en date du 30 juin 1999 du 15 sept. 1996 au 30 avril 2001 V__________ CPPIC Fr. 12'124.85 montant à partager 19 août au 30 sept. 2002 W__________ SA ------------ aucune cotisation du 1er oct. 2002 U__________SA, clinique de la baignoire BALOISE Fr. 4'708.10 montant à partager 3 au 7 mai 2004 W__________ SA ---------------- aucune cotisation INSTITUTION SUPPLETIVE Fr. 9'767.-- montant à partager</w:t>
      </w:r>
    </w:p>
    <w:p>
      <w:r>
        <w:rPr>
          <w:b/>
        </w:rPr>
        <w:t>E. 6</w:t>
      </w:r>
    </w:p>
    <w:p>
      <w:r>
        <w:t>Dès lors, le Tribunal ordonnera aux institutions de prévoyance du demandeur de transférer le montant de Fr. 13'300.- ([12'124.85 + 4'708.10 + 9'767.-] : 2) sur le compte de libre passage dont la demanderesse fournira les coordonnées. Ce montant sera versé à raison de Fr. 9'767.- par la FONDATION SUPPLETIVE, le solde, de Fr. 3'533.- étant versé par LA BALOISE.</w:t>
      </w:r>
    </w:p>
    <w:p>
      <w:r>
        <w:rPr>
          <w:b/>
        </w:rPr>
        <w:t>E. 7</w:t>
      </w:r>
    </w:p>
    <w:p>
      <w:r>
        <w:t>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En l’espèce, le Tribunal de céans considère que, si l’octroi de dépens ne se justifie pas, l’attitude du demandeur justifie en revanche qu’il soit condamné au paiement d’un émolument. En effet, sa passivité et son manque de collaboration ont contraint le Tribunal à de nombreuses démarches qui eussent été évitées si le demandeur s’était conformé à son obligation de renseigner, dont la violation est d’ailleurs punissable des arrêts ou de l’amende selon l’art. 75 LPP. L’émolument sera fixé en l’occurrence à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