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A/5023/2017 vom 17. Januar 2018</w:t>
      </w:r>
    </w:p>
    <w:p>
      <w:r>
        <w:t>GE Cour de justice, 2018-01-17, FR</w:t>
      </w:r>
    </w:p>
    <w:p>
      <w:r>
        <w:rPr>
          <w:b/>
        </w:rPr>
        <w:t xml:space="preserve">Quelle: </w:t>
      </w:r>
      <w:r>
        <w:t>https://mcp.opencaselaw.ch/entscheid/ge_gerichte_A_5023_2017</w:t>
      </w:r>
    </w:p>
    <w:p>
      <w:r>
        <w:t>FR: GE_GERICHTE A/5023/2017 du 17 janvier 2018</w:t>
      </w:r>
    </w:p>
    <w:p>
      <w:r>
        <w:t>IT: GE_GERICHTE A/5023/2017 del 17 gennaio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17.01.2018 A/5023/2017</w:t>
      </w:r>
    </w:p>
    <w:p>
      <w:r>
        <w:t>A/5023/2017 ATAS/29/2018 du 17.01.2018 ( AI ) , AUTRE rÉpublique et canton de genÈve POUVOIR JUDICIAIRE A/5023/2017 ATAS/29/2018 COUR DE JUSTICE Chambre des assurances sociales Arrêt du 17 janvier 2018 4 ème Chambre En la cause Madame A______, domiciliée à CAROUGE, comparant avec élection de domicile en l'étude de Maître Michael ANDERS recourante contre OFFICE DE L'ASSURANCE-INVALIDITÉ DU CANTON DE GENÈVE, sis rue des Gares 12, GENÈVE intimé Vu la décision de l’office de l’assurance-invalidité du canton de Genève (ci-après OAI) du 7 décembre 2017 refusant une rente d’invalidité à Madame A______ (ci-après l’intéressée) ; Vu le courrier du 15 décembre 2017 du conseil de l’intéressée adressé à l’OAI lui demandant de lui faire parvenir le rapport d’expertise médicale de la PMU en y joignant sa décision nouvellement datée, ceci afin de préserver le délai de recours intégral auquel sa cliente avait droit ; Vu le courrier du 21 décembre 2017 de l’OAI transmettant à la chambre de céans l’original du courrier du 15 décembre 2017 comme objet de sa compétence ; Vu l’écriture du 22 décembre 2017 de la chambre de céans ; Vu l’écriture du 9 janvier 2018 du conseil de l’intéressée indiquant que sa lettre du 15 décembre 2017 adressée à l’OAI ne constituait nullement un acte de recours. PAR CES MOTIFS, LA CHAMBRE DES ASSURANCES SOCIALES : 1.        Constate que le courrier du 15 décembre 2017 de Madame A______ ne constitue pas un acte de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