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A/500/2025 vom 4. März 2025</w:t>
      </w:r>
    </w:p>
    <w:p>
      <w:r>
        <w:t>GE Cour de justice, 2025-03-04, FR</w:t>
      </w:r>
    </w:p>
    <w:p>
      <w:r>
        <w:rPr>
          <w:b/>
        </w:rPr>
        <w:t xml:space="preserve">Quelle: </w:t>
      </w:r>
      <w:r>
        <w:t>https://mcp.opencaselaw.ch/entscheid/ge_gerichte_A_500_2025</w:t>
      </w:r>
    </w:p>
    <w:p>
      <w:r>
        <w:t>FR: GE_GERICHTE A/500/2025 du 4 mars 2025</w:t>
      </w:r>
    </w:p>
    <w:p>
      <w:r>
        <w:t>IT: GE_GERICHTE A/500/2025 del 4 marzo 2025</w:t>
      </w:r>
    </w:p>
    <w:p>
      <w:pPr>
        <w:pStyle w:val="Heading2"/>
      </w:pPr>
      <w:r>
        <w:t>Erwägungen</w:t>
      </w:r>
    </w:p>
    <w:p>
      <w:r>
        <w:rPr>
          <w:b/>
        </w:rPr>
        <w:t>E. 1</w:t>
      </w:r>
    </w:p>
    <w:p>
      <w:r>
        <w:t>Le recours a été interjeté en temps utile et devant la juridiction compétente (art. 15 al. 1 et 2 AIMP, 56 al. 1 du règlement cantonal sur la passation des marchés publics - RMP - L 6 06.01, art 132 al. 1 et 2 de la loi sur l'organisation judiciaire du 26 septembre 2010 - LOJ - E 2 05 ; art. 62 al. 1 let. b de la loi sur la procédure administrative du 12 septembre 1985 - LPA ‑ E 5 10).</w:t>
      </w:r>
    </w:p>
    <w:p>
      <w:r>
        <w:rPr>
          <w:b/>
        </w:rPr>
        <w:t>E. 2</w:t>
      </w:r>
    </w:p>
    <w:p>
      <w:r>
        <w:t>La recourante conclut uniquement à ce que la chambre de céans veuille bien « réévaluer [sa] position »</w:t>
      </w:r>
    </w:p>
    <w:p>
      <w:r>
        <w:rPr>
          <w:b/>
        </w:rPr>
        <w:t>E. 2.1</w:t>
      </w:r>
    </w:p>
    <w:p>
      <w:r>
        <w:t>Selon l’art. 65 al. 1 LPA, l’acte de recours contient, sous peine d’irrecevabilité, la désignation de la décision attaquée et les conclusions du recourant. En outre, il doit contenir l’exposé des motifs ainsi que l’indication des moyens de preuve. À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pourvu que la chambre administrative et la partie adverse puissent comprendre avec certitude les fins du recourant ( ATA/1300/2018 du 4 décembre 2018 consid. 2 ; ATA/533/2016 du 21 juin 2016 consid. 2b).</w:t>
      </w:r>
    </w:p>
    <w:p>
      <w:r>
        <w:rPr>
          <w:b/>
        </w:rPr>
        <w:t>E. 2.2</w:t>
      </w:r>
    </w:p>
    <w:p>
      <w:r>
        <w:t>En l’espèce, bien que la recourante demande la « réévaluation » de la décision d’exclusion, il ressort de son acte qu'elle conteste ladite exclusion et souhaite que celle-ci soit annulée et que son offre soit réintégrée et évaluée. Le recours est ainsi recevable.</w:t>
      </w:r>
    </w:p>
    <w:p>
      <w:r>
        <w:rPr>
          <w:b/>
        </w:rPr>
        <w:t>E. 3</w:t>
      </w:r>
    </w:p>
    <w:p>
      <w:r>
        <w:t>L’offre de la recourante a été écartée du fait de sa tardiveté.</w:t>
      </w:r>
    </w:p>
    <w:p>
      <w:r>
        <w:rPr>
          <w:b/>
        </w:rPr>
        <w:t>E. 3.1</w:t>
      </w:r>
    </w:p>
    <w:p>
      <w:r>
        <w:t>Pour être considérées en vue de l'adjudication, les soumissions doivent être conformes, au moment de leur ouverture, aux conditions essentielles spécifiées dans les avis ou dans la documentation relative à l'appel d'offres, et avoir été déposées par un fournisseur remplissant les conditions de participation (art. XIII al. 4 let. a AMP). La procédure d'examen de l'aptitude des soumissionnaires doit suivre des critères objectifs et vérifiables (art. 13 let. d AIMP). Les conditions pour être admis à soumissionner sont mentionnées aux art. 31 ss RMP. L’offre est écartée d’office lorsque le soumissionnaire a rendu une offre tardive, incomplète ou non conforme aux exigences ou au cahier des charges ou ne répond pas ou plus aux conditions pour être admis à soumissionner (art. 42 al. 1 let. a et b RMP). Les offres écartées ne sont pas évaluées. L’autorité adjudicatrice rend alors une décision d’exclusion motivée (art. 42 al. 3 RMP).</w:t>
      </w:r>
    </w:p>
    <w:p>
      <w:r>
        <w:rPr>
          <w:b/>
        </w:rPr>
        <w:t>E. 3.2</w:t>
      </w:r>
    </w:p>
    <w:p>
      <w:r>
        <w:t>Le droit des marchés publics est formaliste.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 ATA/156/2025 du 11 février 2025 consid. 3.6 ; ATA/1383/2024 du 26 novembre 2024 consid. 5.2). Toutefois, l’interdiction du formalisme excessif, tirée de l’art. 29 de la Constitution fédérale de la Confédération suisse du 18 avril 1999 (Cst. - RS 101), interdit d’exclure une offre présentant une informalité de peu de gravité ou affectée d’un vice qui ne compromet pas sérieusement l'objectif visé par la prescription formelle violée (arrêt du Tribunal fédéral 2C_197/2010 du 30 avril 2010 consid. 6.1). À cet égard, l’autorité adjudicatrice dispose d’un certain pouvoir d’appréciation quant au degré de sévérité dont elle désire faire preuve dans le traitement des offres ( ATA/51/2025 du 14 janvier 2025 consid. 5.2.2). Ces principes valent notamment pour la phase d’examen de la recevabilité des soumissions, lors de laquelle l’autorité adjudicatrice examine si les offres présentées remplissent les conditions formelles pour participer à la procédure d’évaluation ( ATA/156/2025 précité consid. 3.6 ; ATA/1090/2024 du 17 septembre 2024 consid. 3.6).</w:t>
      </w:r>
    </w:p>
    <w:p>
      <w:r>
        <w:rPr>
          <w:b/>
        </w:rPr>
        <w:t>E. 3.3</w:t>
      </w:r>
    </w:p>
    <w:p>
      <w:r>
        <w:t>Les offres sont rendues selon la forme requise par l'autorité adjudicatrice et parviennent, sous pli fermé, à l'adresse et pour la date et l'heure indiquées dans les documents d'appel d'offres (art. 37 al. 1 RMP). Seules les offres parvenues – et non pas seulement expédiées – dans les délais fixés dans les documents d'appel d'offres sont ouvertes (art. 38 al. 1 RMP).</w:t>
      </w:r>
    </w:p>
    <w:p>
      <w:r>
        <w:rPr>
          <w:b/>
        </w:rPr>
        <w:t>E. 3.4</w:t>
      </w:r>
    </w:p>
    <w:p>
      <w:r>
        <w:t>En l’espèce, la recourante ne conteste pas que son dossier a été reçu par le pouvoir adjudicateur le 4 février 2025 alors que le délai fixé par l’appel d’offres était fixé au 31 janvier 2025 à 16h30. Le dossier d’appel d’offres comporte aux chiffres 3.1 et 3.3 les indications que seuls sont pris en considération les dossiers arrivés dans le délai imparti par le pouvoir adjudicateur et que toute soumission parvenant hors délai est « rigoureusement » refusée, ainsi que la mention « Dossier expédié par la poste : le candidat supportera à part entière les conséquences résultant d’un retard d’acheminement ». La recourante met en avant que c’est une circonstance indépendante de sa volonté, à savoir un retard d’acheminement imputable à La Poste, qui a empêché son offre d’être reçue dans les temps. Or, l’importance que revêtait le respect du délai de soumission pour l’adjudicateur était dûment mise en exergue par celui-ci tant dans l’appel d’offres que dans le dossier d’appel d’offres, qui rappelle en outre, comme déjà mentionné, que c’est le soumissionnaire qui supporte seul les conséquences d’un retard d’acheminement. Cette exigence est, au demeurant, conforme à l’art. 37 al. 1 RMP, qui prévoit la remise des offres sous pli fermé dans le délai indiqué dans les documents d'appel d'offres. Partant, la condition de forme posée par l’autorité adjudicatrice ne saurait être qualifiée de formalisme excessif ; la recourante ne le soutient d’ailleurs pas. Le délai de soumission n’ayant pas été respecté, l’autorité intimée a, à juste titre, écarté l’offre de la recourante en application de l’art. 38 al. 1 RMP. Au vu de ce qui précède, le recours sera rejeté en tant qu’il est recevable, ce que la chambre de céans peut faire sans échange d’écritures, ledit recours étant manifestement infondé (art. 72 LPA).</w:t>
      </w:r>
    </w:p>
    <w:p>
      <w:r>
        <w:rPr>
          <w:b/>
        </w:rPr>
        <w:t>E. 4</w:t>
      </w:r>
    </w:p>
    <w:p>
      <w:r>
        <w:t>Vu l’issue du litige, un émolument de CHF 500.- sera mis à la charge de la recourante (art. 87 al. 1 LPA) et aucune indemnité de procédure ne sera allouée (art. 87 al. 2 LPA), étant au surplus précisé que la demande d’avance de frais – laquelle est indépendante des chances de succès d’un recours – n’a de ce fait plus d’objet.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