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A/500/2004 vom 12. September 2005</w:t>
      </w:r>
    </w:p>
    <w:p>
      <w:r>
        <w:t>GE Cour de justice, 2005-09-12, FR</w:t>
      </w:r>
    </w:p>
    <w:p>
      <w:r>
        <w:rPr>
          <w:b/>
        </w:rPr>
        <w:t xml:space="preserve">Quelle: </w:t>
      </w:r>
      <w:r>
        <w:t>https://mcp.opencaselaw.ch/entscheid/ge_gerichte_A_500_2004</w:t>
      </w:r>
    </w:p>
    <w:p>
      <w:r>
        <w:t>FR: GE_GERICHTE A/500/2004 du 12 septembre 2005</w:t>
      </w:r>
    </w:p>
    <w:p>
      <w:r>
        <w:t>IT: GE_GERICHTE A/500/2004 del 12 settembre 2005</w:t>
      </w:r>
    </w:p>
    <w:p>
      <w:pPr>
        <w:pStyle w:val="Heading2"/>
      </w:pPr>
      <w:r>
        <w:t>Volltext</w:t>
      </w:r>
    </w:p>
    <w:p>
      <w:r>
        <w:t>Genève Cour de justice (Cour de droit public) Chambre des assurances sociales 12.09.2005 A/500/2004</w:t>
      </w:r>
    </w:p>
    <w:p>
      <w:r>
        <w:t>A/500/2004 ATAS/801/2005 du 12.09.2005 ( ARBIT ) Recours TF déposé le 24.10.2005, rendu le 24.05.2006, REJETE, K 174/05 En fait En droit RÉPUBLIQUE ET CANTON DE GENÈVE POUVOIR JUDICIAIRE A/500/2004 ATAS/801/2005 DECISION INCIDENTE DU TRIBUNAL ARBITRAL DES ASSURANCES du 12 septembre 2005 En la cause CPT/KPT CAISSE-MALADIE , Tellstrasse 18, 3000 Berne 22, comparant par Me Olivier WEHRLI, en l’Etude duquel elle élit domicile requérante contre CLINIQUE GENERALE-BEAULIEU , chemin de Beau-Soleil 20, 1206 Genève,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CLINIQUE GENERALE-BEAULIEU (ci-après : la clinique) au paiement des sommes de Fr. 349'746.74 – plus intérêts à 5% dès le 1er janvier 2002 – et Fr. 87'500.- – avec intérêts à 5% dès le 7 mars 2003 –,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76'651.35) et constaté une différence de 53.49 %, qu’elle a ensuite appliquée à la totalité des factures remboursées à la clinique depuis le 1er janvier 2000 (soit Fr. 653'887.25) ce qui conduit à un trop-perçu de Fr. 349'746.74 pour les seuls traitements et opérations ambulatoires. Elle y a ajouté les frais administratifs inhérents, selon elle, à la détermination du montant réclamé, lesquels ont été estimés à 25% du montant total des factures, soit Fr. 87’500.--.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MODOIANU a informé le Tribunal arbitral qu’elle se constituait pour la défense des intérêts de la clinique avec élection de domicile.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 Par courrier du 17 mai 2004, la CPT a pour sa part désigné Monsieur D__________.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Dans sa réponse du 13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Un échange de correspondances s’en est suivi entre les parties, dont copie a été fournie au Tribunal arbitral.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Jeanne-Louise B__________, élue représentante des cliniques privées par arrêté du Conseil d’Etat du 27 juillet 2005. La CPT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12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