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A/5005/2007 vom 11. Juni 2007</w:t>
      </w:r>
    </w:p>
    <w:p>
      <w:r>
        <w:t>GE Cour de justice, 2007-06-11, FR</w:t>
      </w:r>
    </w:p>
    <w:p>
      <w:r>
        <w:rPr>
          <w:b/>
        </w:rPr>
        <w:t xml:space="preserve">Quelle: </w:t>
      </w:r>
      <w:r>
        <w:t>https://mcp.opencaselaw.ch/entscheid/ge_gerichte_A_5005_2007</w:t>
      </w:r>
    </w:p>
    <w:p>
      <w:r>
        <w:t>FR: GE_GERICHTE A/5005/2007 du 11 juin 2007</w:t>
      </w:r>
    </w:p>
    <w:p>
      <w:r>
        <w:t>IT: GE_GERICHTE A/5005/2007 del 11 giugno 2007</w:t>
      </w:r>
    </w:p>
    <w:p>
      <w:pPr>
        <w:pStyle w:val="Heading2"/>
      </w:pPr>
      <w:r>
        <w:t>Regeste</w:t>
      </w:r>
    </w:p>
    <w:p>
      <w:r>
        <w:t>Commination de faillite. | La réquisition de continuer la poursuite a été enregistrée le 11 juin 2007, soit dans le délai de six mois à partir de la publication de la radiation de la Sàrl dont la poursuivie était associée gérante. A la date déterminante l'art. 39 al. 1 ch. 5 LP était toujours en vigueur. Commination de faillite valable. | LP.38.3; LP.39.1; LP.40.1</w:t>
      </w:r>
    </w:p>
    <w:p>
      <w:pPr>
        <w:pStyle w:val="Heading2"/>
      </w:pPr>
      <w:r>
        <w:t>Erwägungen</w:t>
      </w:r>
    </w:p>
    <w:p>
      <w:r>
        <w:rPr>
          <w:b/>
        </w:rPr>
        <w:t>E. 1</w:t>
      </w:r>
    </w:p>
    <w:p>
      <w:r>
        <w:t>La Commission de céans est compétente pour statuer sur le point de savoir si un débiteur est sujet à la poursuite par voie de faillite ou non et, le cas échéant, pour constater la nullité d’une commination de faillite notifiée alors que le débiteur n’était pas soumis à ce mode de poursuite (art. 22 et 173 al. 2 LP). Le choix erroné du mode de continuation de la poursuite ordinaire par l’office des poursuites entraîne la nullité des actes fondés sur ce choix. Les actes antérieurs de poursuite, en particulier ceux de la procédure préalable, restent toutefois valables (ATF 101 III 18 consid. 1, JdT 1976 II 104 et les références citées). La requête du Tribunal de première instance est dès lors recevable. 2.a. 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(Pierre-Robert Gilliéron , Commentaire, ad art. 159-176 n° 2). La poursuite se continue par voie de faillite lorsque le débiteur est inscrit au registre du commerce en l’une ou l’autre des qualités énumérées exhaustivement à l’art. 39 LP, en particulier en qualité d’associé gérant d'une société à responsabilité limitée (art. 39 al. 1 ch. 5 LP). C’est le lieu de préciser que l’art. 39 al. 1 ch. 5 LP précité a été abrogé par le chiffre 3 de l’annexe à la loi fédérale du 16 décembre 2005 modifiant le Code des obligations, avec effet au 1 er janvier 2008 (RO 2007, p. 4791 ss, 4844, 4838 in fine ; cf. ég. Message du Conseil fédéral du 19 décembre 2001 in FF 2002, p. 2949 ss, 3041 s.).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2.b. L’art. 43 LP prévoit des exceptions à l’assujettissement à la poursuite par voie de faillite, en considération de la nature de certaines prétentions à recouvrer, comme les impôts, amendes, contributions périodiques d’entretien.</w:t>
      </w:r>
    </w:p>
    <w:p>
      <w:r>
        <w:rPr>
          <w:b/>
        </w:rPr>
        <w:t>E. 3</w:t>
      </w:r>
    </w:p>
    <w:p>
      <w:r>
        <w:t>Dans le cas particulier, il appert que la réquisition de continuer la poursuite a été enregistrée le 11 juin 2007, soit dans le délai de six mois à partir de la publication de la radiation de la société à responsabilité limitée dont Mme B______ était associée gérante, dans la FOSC du 8 janvier 2007, date déterminante pour le choix du mode de continuation de la poursuite. Peu importe à cet égard, la date de la notification de la commination de faillite. C’est le lieu de préciser qu’à la date déterminante, l’art. 39 al. 1 ch. 5 LP était toujours en vigueur, son abrogation ayant pris effet au 1 er janvier 2008. De plus, aucune des exceptions prévues à l’art. 43 LP n’était réalisée. Au vu de ce qui précède, force est d’admettre que la poursuite précitée devait être continuée par la voie de la faillite et non par la voie de la saisie. Il s’ensuit que c’est à bon droit que l’Office a notifié à Mme B______ une commination de faillite, dont la Commission de céans constatera la validité. * * * * * PAR CES MOTIFS, LA COMMISSION DE SURVEILLANCE SIÉGEANT EN SECTION : A la forme : Reçoit la requête formée le 17 décembre 2007 par le Tribunal de première instance concernant la commination de faillite, poursuite n° 07 xxxx10 U, notifiée le 5 juillet 2007 à Mme B______. Au fond : Constate que la commination de faillite, poursuite n° 07 xxxx10 U, est valable. Siégeant : M. Grégory BOVEY, président ; Mmes Florence CASTELLA et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