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A/49/2023 vom 25. September 2023</w:t>
      </w:r>
    </w:p>
    <w:p>
      <w:r>
        <w:t>GE Cour de justice, 2023-09-25, FR</w:t>
      </w:r>
    </w:p>
    <w:p>
      <w:r>
        <w:rPr>
          <w:b/>
        </w:rPr>
        <w:t xml:space="preserve">Quelle: </w:t>
      </w:r>
      <w:r>
        <w:t>https://mcp.opencaselaw.ch/entscheid/ge_gerichte_A_49_2023</w:t>
      </w:r>
    </w:p>
    <w:p>
      <w:r>
        <w:t>FR: GE_GERICHTE A/49/2023 du 25 septembre 2023</w:t>
      </w:r>
    </w:p>
    <w:p>
      <w:r>
        <w:t>IT: GE_GERICHTE A/49/2023 del 25 settembre 2023</w:t>
      </w:r>
    </w:p>
    <w:p>
      <w:pPr>
        <w:pStyle w:val="Heading2"/>
      </w:pPr>
      <w:r>
        <w:t>Erwägungen</w:t>
      </w:r>
    </w:p>
    <w:p>
      <w:r>
        <w:rPr>
          <w:b/>
        </w:rPr>
        <w:t>E. 1</w:t>
      </w:r>
    </w:p>
    <w:p>
      <w:r>
        <w:t>![endif]&gt;![if&gt;</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w:t>
      </w:r>
    </w:p>
    <w:p>
      <w:r>
        <w:rPr>
          <w:b/>
        </w:rPr>
        <w:t>E. 1.2</w:t>
      </w:r>
    </w:p>
    <w:p>
      <w:r>
        <w:t>Interjeté en temps utile, le recours est recevable (art. 60 LPGA).![endif]&gt;![if&gt;</w:t>
      </w:r>
    </w:p>
    <w:p>
      <w:r>
        <w:rPr>
          <w:b/>
        </w:rPr>
        <w:t>E. 2</w:t>
      </w:r>
    </w:p>
    <w:p>
      <w:r>
        <w:t>La décision litigieuse a alloué au recourant une rente d’invalidité de 30%, basée sur un gain assuré de CHF 126'000.-, du 19 février 2016 au 31 mai 2022, majorée d’intérêts moratoires, une IPAI d’un taux de 25%, majorée d’intérêts moratoires, ainsi que la prise en charge des traitements médicaux conservatoires pour maîtriser les phénomènes douloureux du genou et du tendon d’Achille, du 19 février 2016 au 8 février 2020.![endif]&gt;![if&gt; Selon les termes du recours, est encore litigieux le droit du recourant à des prestations sur la base de son assurance-accidents complémentaire, la cessation de la rente d’invalidité au 31 mai 2022 et la suppression de la prise en charge des frais de traitement au 8 février 2020, ainsi que la prise en charge d’une arthroscopie du genou droit.</w:t>
      </w:r>
    </w:p>
    <w:p>
      <w:r>
        <w:rPr>
          <w:b/>
        </w:rPr>
        <w:t>E. 3</w:t>
      </w:r>
    </w:p>
    <w:p>
      <w:r>
        <w:t>![endif]&gt;![if&gt;</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rPr>
          <w:b/>
        </w:rPr>
        <w:t>E. 3.2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46).![endif]&gt;![if&gt;</w:t>
      </w:r>
    </w:p>
    <w:p>
      <w:r>
        <w:rPr>
          <w:b/>
        </w:rPr>
        <w:t>E. 4</w:t>
      </w:r>
    </w:p>
    <w:p>
      <w:r>
        <w:t>![endif]&gt;![if&gt;</w:t>
      </w:r>
    </w:p>
    <w:p>
      <w:r>
        <w:rPr>
          <w:b/>
        </w:rPr>
        <w:t>E. 4.1</w:t>
      </w:r>
    </w:p>
    <w:p>
      <w:r>
        <w:t>Selon l’art. 18 al. 1 LAA, si l’assuré est invalide (art. 8 LPGA) à 10% au moins par suite d’un accident, il a droit à une rente d’invalidité, pour autant que l’accident soit survenu avant l’âge ordinaire de la retraite.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w:t>
      </w:r>
    </w:p>
    <w:p>
      <w:r>
        <w:rPr>
          <w:b/>
        </w:rPr>
        <w:t>E. 4.2</w:t>
      </w:r>
    </w:p>
    <w:p>
      <w:r>
        <w:t>L'assuré a droit au traitement médical approprié des lésions résultant de l'accident (art. 10 al. 1 LAA). Le traitement médical n'est alloué qu'aussi longtemps que sa continuation est susceptible d'apporter une sensible amélioration de l'état de santé de l'assuré. Il cesse dès la naissance du droit à la rente (art. 19 al. 1, 2 ème phrase, LAA). Lorsque la rente a été fixée, les prestations pour soins et remboursement de frais (art. 10 à 13 LAA) sont accordées à son bénéficiaire aux conditions énumérées à l'art. 21 al. 1 LAA, soit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Il s'agit de prestations durables, dont l'octroi ne peut pas être limité à quelques mois (ATF 144 V 418 ). Si la continuation du traitement médical n'est plus susceptible d'apporter une sensible amélioration de l'état de santé au sens de l'art. 19 al. 1 LAA et si les conditions de l'art. 21 al. 1 LAA ne sont pas remplies, il appartient à l'assurance-maladie obligatoire de prendre en charge les frais de traitement (ATF 140 V 130 consid. 2.2 ; ATF 134 V 109 consid. 4.2 ; arrêt du Tribunal fédéral 8C_691/2021 du 24 février 2022 consid. 3.3 et la référence). ![endif]&gt;![if&gt;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w:t>
      </w:r>
    </w:p>
    <w:p>
      <w:r>
        <w:rPr>
          <w:b/>
        </w:rPr>
        <w:t>E. 4.3</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Peut en particulier justifier une révision une modification sensible de l'état de santé ou des conséquences sur la capacité de gain d'un état de santé resté en soi le même (ATF 133 V 545 consid. 6.1 p. 546 ; 130 V 343 consid. 3.5 p. 349 s. et les arrêts cités). En revanche, une simple appréciation différente d'un état de fait qui, pour l'essentiel, est demeuré inchangé n'appelle pas une révision au sens de l'art. 17 al. 1 LPGA (ATF 141 V 9 consid. 2.3 p. 11 et les références). Le point de savoir si un tel changement s'est produit doit être tranché en comparant les faits tels qu'ils se présentaient au moment où la dernière décision reposant sur un examen matériel du droit à la rente a été rendue avec les circonstances au moment de la décision de révision (ATF 133 V 108 consid. 5 p. 110 ss).![endif]&gt;![if&gt;</w:t>
      </w:r>
    </w:p>
    <w:p>
      <w:r>
        <w:rPr>
          <w:b/>
        </w:rPr>
        <w:t>E. 5</w:t>
      </w:r>
    </w:p>
    <w:p>
      <w:r>
        <w:t>![endif]&gt;![if&gt;</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références).![endif]&gt;![if&gt;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7</w:t>
      </w:r>
    </w:p>
    <w:p>
      <w:r>
        <w:t>![endif]&gt;![if&gt;</w:t>
      </w:r>
    </w:p>
    <w:p>
      <w:r>
        <w:rPr>
          <w:b/>
        </w:rPr>
        <w:t>E. 7.1</w:t>
      </w:r>
    </w:p>
    <w:p>
      <w:r>
        <w:t>En l’occurrence, dans un premier grief, le recourant sollicite des prestations de la part de l’intimée sur la base d’un contrat d’assurance-accidents complémentaire. Or, d’une part, cette question ne fait pas l’objet de la décision litigieuse (à cet égard ATF 134 V 418 ), d’autre part, elle ne peut être soumise directement à la chambre de céans, le Tribunal administratif de première instance étant compétent pour connaitre, en première instance, de tels litiges (art. 116 al. 3 LOJ et art. 134 al. 2 LOJ). La chambre de céans ne peut en conséquence entrer en matière sur cette conclusion.![endif]&gt;![if&gt;</w:t>
      </w:r>
    </w:p>
    <w:p>
      <w:r>
        <w:rPr>
          <w:b/>
        </w:rPr>
        <w:t>E. 7.2</w:t>
      </w:r>
    </w:p>
    <w:p>
      <w:r>
        <w:t>Dans un second grief, le recourant s’oppose à la cessation de la rente d’invalidité au 31 mai 2022.![endif]&gt;![if&gt;</w:t>
      </w:r>
    </w:p>
    <w:p>
      <w:r>
        <w:rPr>
          <w:b/>
        </w:rPr>
        <w:t>E. 7.2.1</w:t>
      </w:r>
    </w:p>
    <w:p>
      <w:r>
        <w:t>L’intimée, en allouant des prestations sur la base de l’expertise judiciaire du Prof. K______, a confirmé la valeur probante de celle-ci (reconnue par l’arrêt de la chambre de céans du 27 janvier 2020 - ATAS/51/2020 , entré en force), de sorte que cette question n’est plus litigieuse.![endif]&gt;![if&gt;</w:t>
      </w:r>
    </w:p>
    <w:p>
      <w:r>
        <w:rPr>
          <w:b/>
        </w:rPr>
        <w:t>E. 7.2.2</w:t>
      </w:r>
    </w:p>
    <w:p>
      <w:r>
        <w:t>L’intimée se prévaut des avis médicaux des Drs K______, du 20 novembre 2019, M______, du 15 juillet 2021 et P______, du 2 février 2022, pour tenter d’établir une amélioration de l’état de santé du recourant, justifiant la suppression de la rente d’invalidité au 31 mai 2022 et la prise en charge du traitement au 8 février 2020.![endif]&gt;![if&gt;</w:t>
      </w:r>
    </w:p>
    <w:p>
      <w:r>
        <w:rPr>
          <w:b/>
        </w:rPr>
        <w:t>E. 7.2.2.1</w:t>
      </w:r>
    </w:p>
    <w:p>
      <w:r>
        <w:t>S’agissant de l’avis du Prof. K______ du 20 novembre 2019, il relève que le recourant est apte à travailler à un taux de 100% dans une activité adaptée, à la condition que les phénomènes douloureux soient maitrisés, lui permettant de récupérer une capacité de concentration nécessaire à l’accomplissement d’un travail rémunéré. Or, le Prof. K______ n’indique pas que tel est le cas au jour de son rapport. Cet avis est ainsi insuffisant pour établir une amélioration de l’état de santé du recourant, ce d’autant plus que la phrase précitée et mise en exergue par l’intimée (point 11 du rapport du Prof. K______ du 20 novembre 2019) est exactement identique à celle figurant déjà dans le rapport d’expertise judiciaire (expertise judiciaire p. 29), le Prof. K______ ayant cependant précisé que la capacité de travail était bien limitée à un taux de 70%. ![endif]&gt;![if&gt;</w:t>
      </w:r>
    </w:p>
    <w:p>
      <w:r>
        <w:rPr>
          <w:b/>
        </w:rPr>
        <w:t>E. 7.2.2.2</w:t>
      </w:r>
    </w:p>
    <w:p>
      <w:r>
        <w:t>S’agissant de l’expertise du Dr M______, le SMR a relevé que ses conclusions ne tenaient compte que du dernier événement du 9 août 2019 mais ne se prononçait pas sur l’évolution de l’état de santé depuis 2015 et que le Dr M______ n’expliquait pas pourquoi il s’écartait des conclusions de l’appréciation du Prof. K______, de sorte qu’il convenait de le questionner afin qu’il précise si la capacité de 100% qu’il avait retenue correspondait à une évolution favorable de l’état de santé du recourant (avis du SMR du 29 novembre 2021). Or, le 21 décembre 2021, le Dr M______ a précisé que son évaluation d’une capacité de travail de 100% depuis le 9 février 2020 était une appréciation différente de celle retenue par le Prof. K______, de sorte que le SMR a finalement estimé que le recourant était en incapacité de travail de 30% depuis le 19 février 2016 et que la situation médicale n’avait pas changé depuis 2015, la capacité de travail dans l’activité habituelle étant de 70% dès le 19 février 2016 et cela également au-delà du 9 février 2020 (avis du SMR du 19 octobre 2022). ![endif]&gt;![if&gt; Dans ces conditions, l’intimée ne saurait se fonder valablement sur l’expertise du Dr M______ pour établir une amélioration de l’état de santé du recourant au 9 février 2020, le Dr M______ l’ayant lui-même niée.</w:t>
      </w:r>
    </w:p>
    <w:p>
      <w:r>
        <w:rPr>
          <w:b/>
        </w:rPr>
        <w:t>E. 7.2.2.3</w:t>
      </w:r>
    </w:p>
    <w:p>
      <w:r>
        <w:t>S’agissant enfin de l’expertise du Dr P______ du 2 février 2022, elle ne contient pas non plus d’éléments médicaux permettant d’établir une amélioration de l’état de santé du recourant au 9 février 2020, dès lors qu’elle s’attache à contester les éléments retenus par le Prof. K______ dans son expertise judiciaire, et qu’elle conclut à un état de santé définitif atteint au 19 février 2016 et à une absence de diminution permanente de la capacité de travail du recourant, celui-ci étant considéré comme totalement capable de travailler dans son activité habituelle, à tout le moins dès le 1 er mars 2014 (expertise du Dr P______ pp. 65, 67, 70 et 73). ![endif]&gt;![if&gt; L’intimée n’explicite d’ailleurs pas en quoi le rapport d’expertise du Dr P______ attesterait d’une amélioration de l’état de santé du recourant au 9 février 2020.</w:t>
      </w:r>
    </w:p>
    <w:p>
      <w:r>
        <w:rPr>
          <w:b/>
        </w:rPr>
        <w:t>E. 7.2.3</w:t>
      </w:r>
    </w:p>
    <w:p>
      <w:r>
        <w:t>Au demeurant, aucun élément médical au dossier ne permet d’établir que l’état de santé du recourant se serait amélioré entre le moment où l’intimée a reconnu un droit à la rente d’invalidité, en février 2016, et celui où elle l’a supprimé, en mai 2022. ![endif]&gt;![if&gt;</w:t>
      </w:r>
    </w:p>
    <w:p>
      <w:r>
        <w:rPr>
          <w:b/>
        </w:rPr>
        <w:t>E. 8</w:t>
      </w:r>
    </w:p>
    <w:p>
      <w:r>
        <w:t>Dans un troisième grief, le recourant s’oppose à la suppression de la prise en charge des frais de traitement au 8 février 2020.![endif]&gt;![if&gt;</w:t>
      </w:r>
    </w:p>
    <w:p>
      <w:r>
        <w:rPr>
          <w:b/>
        </w:rPr>
        <w:t>E. 8.1</w:t>
      </w:r>
    </w:p>
    <w:p>
      <w:r>
        <w:t>La prise en charge du traitement a été admise par l’intimée jusqu’au 8 février 2020, date de l’expertise du Dr M______.![endif]&gt;![if&gt; Le Prof. K______ a relevé un syndrome douloureux persistant (état douloureux du pied et de la cheville), soit des douleurs chronicisées et a recommandé la poursuite de la prise en charge du traitement antalgique et de la physiothérapie (expertise judiciaire p. 36). Dans son complément d’expertise, le Prof K______ a relevé qu’un traitement conservateur devait se poursuivre pour conserver, voire améliorer, le status actuel et qu’une prise en charge par le centre de la douleur était indiquée (complément d’expertise judiciaire du 29 juillet 2019 p. 4). Dès lors qu’il ne ressort pas de l’appréciation du Prof. K______ que des soins durables sont nécessaires pour conserver la capacité résiduelle de travail de 70% (à cet égard arrêt du Tribunal fédéral 8C_39/2023 du 14 juillet 2023 et art. 21 al. 1 let. c LAA), l’intimée pouvait revenir sur sa décision de prise en charge d’un tel traitement à la date du 9 février 2020, étant par ailleurs relevé que les frais de traitement ne sont pas des prestations durables au sens de l’art. 17 al. 2 LPGA, de sorte que les règles présidant à la révision des prestations ne leur sont pas applicables (ATF 133 V 57 ). En outre, l’art. 21 al. 1 let. d LAA, cité par le recourant, n’est pas applicable dès lors qu’il vise l’assuré totalement incapable de travailler (ATF 140 V 130 ), ce qui n’est pas le cas du recourant.</w:t>
      </w:r>
    </w:p>
    <w:p>
      <w:r>
        <w:rPr>
          <w:b/>
        </w:rPr>
        <w:t>E. 8.2</w:t>
      </w:r>
    </w:p>
    <w:p>
      <w:r>
        <w:t>Au demeurant, c’est à bon droit que l’intimée a mis fin à la prise en charge des frais de traitement au 8 février 2020.![endif]&gt;![if&gt;</w:t>
      </w:r>
    </w:p>
    <w:p>
      <w:r>
        <w:rPr>
          <w:b/>
        </w:rPr>
        <w:t>E. 8.3</w:t>
      </w:r>
    </w:p>
    <w:p>
      <w:r>
        <w:t>Enfin, le recourant requiert la prise en charge de l’intervention envisagée par le Dr O______ (courriers de celui-ci à l’intimée des 22 octobre et 22 novembre 2021).![endif]&gt;![if&gt;</w:t>
      </w:r>
    </w:p>
    <w:p>
      <w:r>
        <w:rPr>
          <w:b/>
        </w:rPr>
        <w:t>E. 8.3.1</w:t>
      </w:r>
    </w:p>
    <w:p>
      <w:r>
        <w:t>À cet égard, le Prof. K______ a indiqué dans son complément d’expertise qu’il était difficile d’imaginer, au vu d’une évolution datant de 1996 à ce jour, qu’une intervention chirurgicale quelle qu’elle fût, ne parvienne à enlever efficacement et de manière générale les douleurs au genou, permettant un plein emploi (complément d’expertise judiciaire p. 4). Or, ni le recourant, ni le Dr O______ n’ont fourni d’élément médical permettant de considérer que l’arthroscopie envisagée permettrait de conserver la capacité résiduelle de gain du recourant de 70% dans son activité habituelle, au sens de l’art. 21 al. 1 let. c LAA.![endif]&gt;![if&gt; Au contraire, le rapport succinct du Dr O______ du 26 novembre 2021 indique seulement qu’en présence de douleurs invalidantes, sans tendance à l’amélioration, une réparation par voie mini-invasive sous conduite arthroscopique était indiquée, ce qui permet de comprendre que la capacité de travail de 70% n’est pas, en l’absence de dite intervention, mise en péril.</w:t>
      </w:r>
    </w:p>
    <w:p>
      <w:r>
        <w:rPr>
          <w:b/>
        </w:rPr>
        <w:t>E. 8.3.2</w:t>
      </w:r>
    </w:p>
    <w:p>
      <w:r>
        <w:t>En conséquence, c’est également à bon droit que l’intimée a refusé la prise en charge d’une telle intervention.![endif]&gt;![if&gt;</w:t>
      </w:r>
    </w:p>
    <w:p>
      <w:r>
        <w:rPr>
          <w:b/>
        </w:rPr>
        <w:t>E. 9</w:t>
      </w:r>
    </w:p>
    <w:p>
      <w:r>
        <w:t>![endif]&gt;![if&gt;</w:t>
      </w:r>
    </w:p>
    <w:p>
      <w:r>
        <w:rPr>
          <w:b/>
        </w:rPr>
        <w:t>E. 9.1</w:t>
      </w:r>
    </w:p>
    <w:p>
      <w:r>
        <w:t>Au vu de ce qui précède, le recours sera partiellement admis, la décision de l’intimée étant partiellement annulée dans la mesure où elle supprime au 31 mai 2022 la rente d’invalidité du recourant ; elle sera confirmée pour le surplus.![endif]&gt;![if&gt;</w:t>
      </w:r>
    </w:p>
    <w:p>
      <w:r>
        <w:rPr>
          <w:b/>
        </w:rPr>
        <w:t>E. 9.2</w:t>
      </w:r>
    </w:p>
    <w:p>
      <w:r>
        <w:t>Le recourant obtenant partiellement gain de cause, une indemnité de CHF 3'000.- lui sera accordée à titre de participation à ses frais et dépens (art. 61 let. g LPGA ; art. 6 du règlement sur les frais, émolument et indemnités en matière administrative du 30 juillet 1986 [RFPA – E 5 10.03]).![endif]&gt;![if&gt; Pour le surplus, la procédure est gratuite (art.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