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A/499/2007 vom 29. März 2007</w:t>
      </w:r>
    </w:p>
    <w:p>
      <w:r>
        <w:t>GE Cour de justice, 2007-03-29, FR</w:t>
      </w:r>
    </w:p>
    <w:p>
      <w:r>
        <w:rPr>
          <w:b/>
        </w:rPr>
        <w:t xml:space="preserve">Quelle: </w:t>
      </w:r>
      <w:r>
        <w:t>https://mcp.opencaselaw.ch/entscheid/ge_gerichte_A_499_2007</w:t>
      </w:r>
    </w:p>
    <w:p>
      <w:r>
        <w:t>FR: GE_GERICHTE A/499/2007 du 29 mars 2007</w:t>
      </w:r>
    </w:p>
    <w:p>
      <w:r>
        <w:t>IT: GE_GERICHTE A/499/2007 del 29 marzo 2007</w:t>
      </w:r>
    </w:p>
    <w:p>
      <w:pPr>
        <w:pStyle w:val="Heading2"/>
      </w:pPr>
      <w:r>
        <w:t>Regeste</w:t>
      </w:r>
    </w:p>
    <w:p>
      <w:r>
        <w:t>Retard injustifié. | Retard injustifié dans l'exécution de la saisie. | LP.17.3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Commission de céans est compétente pour statuer sur les plaintes formées en application de la LP (art. 10 al. 1 LaLP ; art. 56R al. 3 LOJ) contre des mesures non attaquables par la voie judiciaire ou, comme en l’espèce, pour déni de justice ou retard injustifié (art. 17 al. 1 et 2 LP). Une plainte pour déni de justice ou retard injustifié peut être formée en tout temps (art. 17 al. 3 LP). En tant que poursuivante, la plaignante a qualité pour se plaindre d’un retard injustifié dans l'exécution de la saisie. Sa plainte satisfait aux exigences de forme et de contenu prescrites par la loi (art. 13 al. 1 et 2 LaLP). Elle est donc recevable.</w:t>
      </w:r>
    </w:p>
    <w:p>
      <w:r>
        <w:rPr>
          <w:b/>
        </w:rPr>
        <w:t>E. 2</w:t>
      </w:r>
    </w:p>
    <w:p>
      <w:r>
        <w:t>A teneur de l’art. 89 LP, lorsque le débiteur est sujet à la poursuite par voie de saisie, l’Office, après réception de la réquisition de continuer la poursuite, procède sans retard à la saisie ou y fait procéder par l’office du lieu où se trouvent les biens à saisir. Le non-respect de cette prescription de procéder "sans retard", c'est-à-dire que l'office doit agir sans désemparer, mais en tenant compte de toutes les circonstances, soit en principe dans un délai de quelques jours, peut donner lieu à une plainte pour retard injustifié, et, en cas de dommage, entraîner la responsabilité du canton (art. 5 LP). Il ne constitue pas, en revanche, une cause d'annulation ou de nullité de la saisie (Walter A. Stoffel , Voies d'exécution, § 3 n° 57 ss ; Pierre-Robert Gilliéron , Commentaire, ad art. 89 n° 40 ss ; Bénédict Foëx , in CR-LP, ad art. 89 n° 15 ss). La procédure d’exécution forcée doit être menée avec diligence et efficacité et il est du devoir du canton de mettre à la disposition de l’Office les moyens nécessaires pour que les exigences légales puissent être respectées, l’Office étant de son côté obligé de s’organiser de façon à tirer un profit optimal des ressources mises à sa disposition (ATF 119 III 1 ; Pierre-Robert Gilliéron , Commentaire, ad Remarques introductives aux art. 1-30 n° 3).</w:t>
      </w:r>
    </w:p>
    <w:p>
      <w:r>
        <w:rPr>
          <w:b/>
        </w:rPr>
        <w:t>E. 3</w:t>
      </w:r>
    </w:p>
    <w:p>
      <w:r>
        <w:t>Raye la cause A/499/2007 du rôle.</w:t>
      </w:r>
    </w:p>
    <w:p>
      <w:r>
        <w:rPr>
          <w:b/>
        </w:rPr>
        <w:t>E. 4</w:t>
      </w:r>
    </w:p>
    <w:p>
      <w:r>
        <w:t>Déboute la plaignante de toutes autres conclusions. Siégeant : M. Grégory BOVEY, président ; M. Didier BROSSET et Mme Magali ORSINI, juges assesseur(e)s. Au nom de la Commission de surveillance : Marisa BATISTA Grégory BOVEY Greffière : Président 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