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A/4920/2007 vom 28. Februar 2008</w:t>
      </w:r>
    </w:p>
    <w:p>
      <w:r>
        <w:t>GE Cour de justice, 2008-02-28, FR</w:t>
      </w:r>
    </w:p>
    <w:p>
      <w:r>
        <w:rPr>
          <w:b/>
        </w:rPr>
        <w:t xml:space="preserve">Quelle: </w:t>
      </w:r>
      <w:r>
        <w:t>https://mcp.opencaselaw.ch/entscheid/ge_gerichte_A_4920_2007</w:t>
      </w:r>
    </w:p>
    <w:p>
      <w:r>
        <w:t>FR: GE_GERICHTE A/4920/2007 du 28 février 2008</w:t>
      </w:r>
    </w:p>
    <w:p>
      <w:r>
        <w:t>IT: GE_GERICHTE A/4920/2007 del 28 febbraio 2008</w:t>
      </w:r>
    </w:p>
    <w:p>
      <w:pPr>
        <w:pStyle w:val="Heading2"/>
      </w:pPr>
      <w:r>
        <w:t>Regeste</w:t>
      </w:r>
    </w:p>
    <w:p>
      <w:r>
        <w:t>Minimum vital. Devoir d'entretien. Investigation. Insaisissabilité. | Le revenu perçu par l'enfant majeur qui poursuit des études suffit à couvrir son entretien de base. Modification de la quotité saisissable. | LP.92.1.ch.9a; LP.93.1</w:t>
      </w:r>
    </w:p>
    <w:p>
      <w:pPr>
        <w:pStyle w:val="Heading2"/>
      </w:pPr>
      <w:r>
        <w:t>Erwägungen</w:t>
      </w:r>
    </w:p>
    <w:p>
      <w:r>
        <w:rPr>
          <w:b/>
        </w:rPr>
        <w:t>E. 1</w:t>
      </w:r>
    </w:p>
    <w:p>
      <w:r>
        <w:t>La présente plainte a été déposée en temps utile et dans les formes prescrites auprès de l’autorité compétente. Un procès-verbal de saisie constitue une mesure sujette à plainte et la plaignante, en tant que poursuivante, a qualité pour agir par cette voie (art. 17 LP ; art. 56R al. 3 LOJ ; art. 10 al. 1 et 13 LaLP). Elle est donc recevable.</w:t>
      </w:r>
    </w:p>
    <w:p>
      <w:r>
        <w:rPr>
          <w:b/>
        </w:rPr>
        <w:t>E. 2</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En l'espèce, la plaignante conteste le montant des revenus du débiteur retenu par l’Office et lui fait également grief d’avoir pris en compte les frais relatifs à l’entretien de son fils majeur dans le calcul de son minimum vital.</w:t>
      </w:r>
    </w:p>
    <w:p>
      <w:r>
        <w:rPr>
          <w:b/>
        </w:rPr>
        <w:t>E. 3</w:t>
      </w:r>
    </w:p>
    <w:p>
      <w:r>
        <w:t>L'Office qui est en charge de la saisie doit adopter un comportement actif et une position critique, de sorte qu'il ne peut pas s'en remettre, sans les vérifier aux seules déclarations du poursuivi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L’huissier qui effectue la saisie doit se soucier que le débiteur remplisse ses devoirs en matière de saisie, en les lui rappelant et en attirant son attention sur les conséquences pénales en cas d’inobservation (art. 91 al. 1 in initio et al. 4 LP ; André E. Lebrecht, in SchKG II, ad art. 91 n° 35 ; Pierre-Robert Gilliéron , Commentaire, ad art. 91 n° 18).</w:t>
      </w:r>
    </w:p>
    <w:p>
      <w:r>
        <w:rPr>
          <w:b/>
        </w:rPr>
        <w:t>E. 4</w:t>
      </w:r>
    </w:p>
    <w:p>
      <w:r>
        <w:t>En l’espèce, l’Office s’est rendu au domicile du débiteur et n’a pas constaté la présence de biens mobiliers saisissables. De plus, il l’a interrogé à plusieurs reprises et a réclamé des pièces justificatives corroborant ses déclarations. L’Office a également pris en compte les faits qui ont été portés à sa connaissance lors de l’audience du 15 octobre 2007, qui avait été ordonnée par la Commission de céans dans le cadre de la cause A/3010/2007. Il a ainsi interrogé une nouvelle fois le débiteur et a requis des pièces justificatives complémentaires. Il a également saisi diverses créances en mains du débiteur et l’a averti, sous menace des peines prévues par l’art. 169 CP, qu’elles devaient être versées à l’Office. L’Office a aussi obtenu une confirmation écrite des proches du débiteur en ce qui concerne l’arrêt de leur aide financière. Il a enfin interpellé la banque dans laquelle le débiteur détient un compte, mais en vain. Au vu de ce qui précède, la Commission de céans considère que l’Office ne s’est pas contenté des seules déclarations du débiteur. Il a mené les investigations que l’on pouvait raisonnablement exiger de lui et s’est appuyé sur des pièces justificatives pour déterminer le montant de ses revenus. 5.a. L’obligation pour les parents d’entretenir un enfant au-delà de sa majorité conserve un caractère exceptionnel. En vertu de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 novembre 1999 cause 7B.200/1999 ). L’entretien n’est dû que lorsque l’enfant poursuit sa formation et que celle-ci a un caractère professionnel. En outre, l’obligation d’entretien n’existe que pour une seule formation professionnelle ; une deuxième formation, des cours de perfectionnement ou une formation complémentaire ne sont pas compris dans ce concept, même s’ils peuvent paraître utiles. Il en va différemment, toutefois, lorsqu’il s’agit de la première et véritable formation professionnelle, même si elle commence après que le jeune a déjà gagné sa vie. Cette formation doit en outre correspondre dans ses lignes générales en tout cas à un plan de carrière fixé avant la majorité (ATF 118 II 97 ; JdT 1994 II 341).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Il convient toutefois de tenir compte des revenus réalisés par l'enfant majeur. Dans la mesure où la base d'entretien de l'enfant et ses primes d'assurance-maladie sont couvertes par de tels revenus, leur montant ne saurait être inclus dans le minimum vital des parents (SJ 2000 II 216 - 217). 5.b. En l’espèce, G______ est âgé de 22 ans. Il poursuit à l’EPFL des études qui peuvent être qualifiées de première formation à caractère professionnel. En application des principes qui précèdent, sa base d’entretien mensuel ainsi que ses primes d’assurances peuvent être inclus dans le minimum vital de ses parents. En revanche, le montant de son loyer, les taxes universitaires et ses frais de repas doivent en être écartés. Il est toutefois établi et non contesté que G______ perçoit un revenu de 1'110 fr. par mois, correspondant aux intérêts produit par le capital dont il a hérité de sa grand-mère maternelle. Or, ce montant suffit à couvrir son entretien de base et sa prime d’assurance maladie qui est, au demeurant, impayée. Au vu de ce qui précède et conformément aux principes susmentionnés, la Commission de céans considère qu’il n’y a lieu de prendre en compte dans le calcul du minimum vital du débiteur, ni les revenus ni les charges de son fils.</w:t>
      </w:r>
    </w:p>
    <w:p>
      <w:r>
        <w:rPr>
          <w:b/>
        </w:rPr>
        <w:t>E. 6</w:t>
      </w:r>
    </w:p>
    <w:p>
      <w:r>
        <w:t>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7.a.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le décès ou l’invalidité survenu, les rentes servies par les institutions de prévoyance professionnelle sont relativement saisissables conformément à l’art. 93 al. 1 LP (ATF non publié 7B.253/2003 du 23 décembre 2003 consid. 3.1 ; ATF 7B.234/2003 du 17 novembre 2003 consid. 3 ; ATF 128 III 467 consid. 2.3 (non publié aux ATF), JdT 2003 II 29 ; ATF 121 III 285 consid. 1b et 3, JdT 1998 II 15 ; ATF 120 III 71 consid. 2 et 3, JdT 1997 II 18 ; Michel Ochsner , in CR-LP, ad art. 93 n° 51).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(Michel Ochsner , CR-LP, ad art. 92, n° 147 ss). 7.b. Selon une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(ATF non publié 5A_14/2007 du 14 mai 2007 consid, 3.1 ; ATF 104 III 38 , JdT 1980 II 16 ; ATF 97 III 16 , JdT 1971 II 101 ; DCSO/734/2005 du 30 novembre 2005 ; Jean-Claude Mathey , La saisie de salaire et de revenu, § 372). 7.c. En l’espèce, le débiteur perçoit une rente AVS de 538 fr. ainsi qu’une rente complémentaire pour son fils de 215 fr., qui est versée sur son compte et qu’il ne lui reverse que lorsqu’il le peut, soit 753 fr. au total par mois. Il perçoit également une rente 2 ème pilier de 2'200 fr. par mois et une aide financière de ses proches de 1'174 fr. par mois, soit 3'374 fr. au total par mois. Si les rentes AVS sont insaisissables (art. 92 al. 1 ch. 9a LP), la rente 2 ème pilier et l’aide financière versée par les proches du débiteur sont, en revanche, au vu des considérants rappelés ci-dessus, relativement saisissable (art. 93 al. 1 LP). Il convient de rappeler que le débiteur assume seul les charges du couple, son épouse ne réalisant aucun revenu. 8.a. Le minimum vital d’un débiteur, qui doit être fixé en fonction des circonstances de fait existant lors de l’exécution de la saisie (ATF 7B.200/2003 du 11 novembre 2003 consid. 4 (non publié aux ATF 130 III 45 ) ; ATF 115 III 103 , JdT 1991 II 108 consid. 1c),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En revanche, les frais d’éclairage, de courant électrique ou de gaz de cuisson, tout comme les frais d’alimentation en eau, sont inclus dans la base mensuelle et ne doivent pas être pris en compte. De plus, les impôts, les frais non strictement nécessaires, tels loisirs, vacances, frais et redevances radio-TV ou téléphone non inclus dans le montant de base, etc., ainsi que les primes d’assurances non obligatoires ne font pas partie du minimum vital (SJ 2000 II 213 ; Françoise Bastons Bulletti , in SJ 2007 II 84 ss, 88 s). Seuls les montants effectivement payés doivent être pris en compte (Michel Ochsner ,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8.b. Ainsi, en application des principes précités et conformément aux Normes d’insaisissabilité pour l’année 2007, les charges mensuelles du débiteur sont de 2'949 fr. (entretien de base du couple : 1'550 fr. ; loyer : 1'399 fr.).</w:t>
      </w:r>
    </w:p>
    <w:p>
      <w:r>
        <w:rPr>
          <w:b/>
        </w:rPr>
        <w:t>E. 9</w:t>
      </w:r>
    </w:p>
    <w:p>
      <w:r>
        <w:t>La quotité saisissable du débiteur se calcule de la manière suivante (consid. 8b) : 2'949 fr. (minimum vital) - 753 fr. (rentes AVS insaisissables entièrement affectées au minimum vital) = 2'196 fr. (part du minimum vital non couvert par la rente AVS) 3'374 fr. (revenu saisissable) - 2'196 fr. (part du minimum vital non couvert par la rente AVS) = 1'178 fr. La quotité saisissable doit donc être fixée à 1'175 fr. (montant arrondi) par mois, soit un montant supérieur à celui fixé par l’Office. Il convient toutefois de rappeler que les décisions de la Commission de céans n’ont d’effet rétroactif qu’en faveur du débiteur (SJ 2000 II 211).</w:t>
      </w:r>
    </w:p>
    <w:p>
      <w:r>
        <w:rPr>
          <w:b/>
        </w:rPr>
        <w:t>E. 11</w:t>
      </w:r>
    </w:p>
    <w:p>
      <w:r>
        <w:t>Au vu de ce qui précède, force est de constater que la plainte est partiellement fondée. * * * * * PAR CES MOTIFS, LA COMMISSION DE SURVEILLANCE SIÉGEANT EN SECTION : A la forme : Déclare recevable la plainte formée le 13 décembre 2007 par B______ SA contre le procès-verbal de saisie n° 06 xxxx74 V. Au fond : 1. L’admet partiellement. 2. Fixe la quotité saisissable à l’encontre de M. S______ à 1'175 fr. par mois. 3. Déboute les parties de toutes autres conclusions. Siégeant : Mme Ariane WEYENETH, présidente ; Mme Magali ORSINI et M. Philipp GANZONI, juges assesseurs. Au nom de la Commission de surveillance : Stéphane HELGEN Ariane WEYENETH Greffier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