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A/48/2023 vom 16. Juni 2023</w:t>
      </w:r>
    </w:p>
    <w:p>
      <w:r>
        <w:t>GE Cour de justice, 2023-06-16, FR</w:t>
      </w:r>
    </w:p>
    <w:p>
      <w:r>
        <w:rPr>
          <w:b/>
        </w:rPr>
        <w:t xml:space="preserve">Quelle: </w:t>
      </w:r>
      <w:r>
        <w:t>https://mcp.opencaselaw.ch/entscheid/ge_gerichte_A_48_2023</w:t>
      </w:r>
    </w:p>
    <w:p>
      <w:r>
        <w:t>FR: GE_GERICHTE A/48/2023 du 16 juin 2023</w:t>
      </w:r>
    </w:p>
    <w:p>
      <w:r>
        <w:t>IT: GE_GERICHTE A/48/2023 del 16 giugno 2023</w:t>
      </w:r>
    </w:p>
    <w:p>
      <w:pPr>
        <w:pStyle w:val="Heading2"/>
      </w:pPr>
      <w:r>
        <w:t>Erwägungen</w:t>
      </w:r>
    </w:p>
    <w:p>
      <w:r>
        <w:rPr>
          <w:b/>
        </w:rPr>
        <w:t>E. 1</w:t>
      </w:r>
    </w:p>
    <w:p>
      <w:r>
        <w:t>![endif]&gt;![if&gt;</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1.2</w:t>
      </w:r>
    </w:p>
    <w:p>
      <w:r>
        <w:t>Le délai de recours est de 30 jours (art. 56 LPGA ; art. 62 al. 1 de la loi sur la procédure administrative du 12 septembre 1985 [LPA - E 5 10]).![endif]&gt;![if&gt; Interjeté dans la forme et le délai prévus par la loi, le recours est recevable.</w:t>
      </w:r>
    </w:p>
    <w:p>
      <w:r>
        <w:rPr>
          <w:b/>
        </w:rPr>
        <w:t>E. 2</w:t>
      </w:r>
    </w:p>
    <w:p>
      <w:r>
        <w:t>Le litige porte sur le bien-fondé du refus d’accorder au recourant la remise de son obligation de restituer la somme de CHF 24'538.05.-.![endif]&gt;![if&gt;</w:t>
      </w:r>
    </w:p>
    <w:p>
      <w:r>
        <w:rPr>
          <w:b/>
        </w:rPr>
        <w:t>E. 2.1</w:t>
      </w:r>
    </w:p>
    <w:p>
      <w:r>
        <w:t>Selon l'art. 25 al. 1 LPGA, les prestations indûment touchées doivent être restituées. La restitution ne peut être exigée lorsque l'intéressé était de bonne foi et qu'elle le mettrait dans une situation difficile. ![endif]&gt;![if&gt;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2.2</w:t>
      </w:r>
    </w:p>
    <w:p>
      <w:r>
        <w:t>À teneur de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2).![endif]&gt;![if&gt; 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2.3</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références).![endif]&gt;![if&gt;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2.4</w:t>
      </w:r>
    </w:p>
    <w:p>
      <w:r>
        <w:t>Les directives concernant les prestations complémentaires à l'AVS et à l'AI (ci-après : DPC), valables dès le 1 er avril 2011 (état au 1 er janvier 2021), énoncent que si une prestation complémentaire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n° 4652.02).![endif]&gt;![if&gt;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w:t>
      </w:r>
    </w:p>
    <w:p>
      <w:r>
        <w:rPr>
          <w:b/>
        </w:rPr>
        <w:t>E. 2.4.1</w:t>
      </w:r>
    </w:p>
    <w:p>
      <w:r>
        <w:t>À titre d’exemple, le Tribunal fédéral a retenu une négligence grave excluant toute bonne foi dans le cas :![endif]&gt;![if&gt; -       d’une bénéficiaire qui n’avait pas spontanément informé le service sur l’état de sa fortune, d’autant plus qu’elle avait reçu chaque début d’année des informations précises à ce sujet (arrêt du Tribunal fédéral 9C_746/2016 du 11 janvier 2017 consid. 4) ;![endif]&gt;![if&gt; -       d’un assuré qui aurait pu déceler que la feuille de calcul comportait une erreur manifeste en faisant preuve de l’attention nécessaire, ce quand bien même il aurait annoncé des revenus que le SPC avait omis de prendre en compte ; le Tribunal fédéral a en particulier relevé que lorsqu'une prestation complémentaire n'était que légèrement trop élevée, l'attention requise et l'obligation de signaler l'erreur lors du contrôle des relevés étaient moins strictes que dans le cas de la perception d'une prestation de plusieurs centaines de francs trop élevée chaque mois, qui devrait être constatée sans plus attendre (arrêt du Tribunal fédéral 9C_385/2013 du 19 septembre 2013 consid. 4.4 ; pour un cas d’application, voir l’arrêt du Tribunal fédéral 9C_720/2013 du 9 avril 2014 consid. 4.5, dans lequel la prestation complémentaire annuelle a été réduite de CHF 150.-) ; ![endif]&gt;![if&gt; -       d’un couple qui n’avait pas réagi à une décision erronée accroissant les prestations complémentaires versées, alors qu’il avait annoncé la perception d’une nouvelle rente devant aboutir à une diminution des prestations ; le Tribunal fédéral a relevé qu’un examen sommaire de la feuille de calcul, qui ne présentait aucune difficulté de lecture ou de compréhension, aurait permis à l’intéressé de constater que les revenus annoncés n’avaient pas été pris en considération ; le manque de vigilance de l’assuré, qui avait omis de contrôler la feuille de calcul et d’informer l’administration de l’erreur manifeste qu’elle venait de commettre, excluait sa bonne foi (arrêt du Tribunal fédéral 9C_189/2012 du 21 août 2012 consid. 4) ;![endif]&gt;![if&gt; -       d’un bénéficiaire de prestations complémentaires qui avait passé sous silence l'augmentation du revenu de son épouse, en violation de son obligation de renseigner (arrêt du Tribunal fédéral des assurances P 17/03 du 3 février 2004 consid. 4.1).![endif]&gt;![if&gt;</w:t>
      </w:r>
    </w:p>
    <w:p>
      <w:r>
        <w:rPr>
          <w:b/>
        </w:rPr>
        <w:t>E. 2.4.2</w:t>
      </w:r>
    </w:p>
    <w:p>
      <w:r>
        <w:t>En revanche, la condition de la bonne foi a été considérée comme remplie dans le cas : ![endif]&gt;![if&gt; -       d’une épouse d’un bénéficiaire, auquel les prestations étaient versées, qui n’avait pas annoncé sa séparation, dès lors que l’intéressée ne disposait d’aucun droit propre ou autonome ni n’était soumise à aucune obligation découlant du Code civil suisse vis-à-vis du service ; le seul fait que l’intéressée avait signé le formulaire de demande en sa qualité d’épouse d’un requérant de prestations complémentaires et qu’elle avait joué un rôle dans le calcul des prestations allouées à son ex-mari ne suffisait pas pour en faire une bénéficiaire de prestations ni une personne soumise à l’obligation de restituer du vivant de son mari au sens de l’art. 2 al. 1 OPGA ; on ne pouvait par conséquent lui reprocher d’avoir violé un quelconque devoir d’annoncer et sa bonne foi devait être reconnue (arrêt du Tribunal fédéral 9C_638/2014 du 13 août 2015 consid. 6) ; ![endif]&gt;![if&gt; -       d’une bénéficiaire de prestations complémentaires qui avait omis d’annoncer une rente AI versée à son conjoint, dont une partie était versée avec effet rétroactif : la bonne foi de l’intéressée a été admise pour la période correspondant au versement rétroactif de la rente AI ; la Haute cour a rappelé que la condition de la bonne foi devait être réalisée dans la période où l'assurée concernée avait reçu les prestations indues dont la restitution était exigée, en l'occurrence les prestations complémentaires, et que durant cette période, les revenus du couple ne comprenaient effectivement que la rente AI perçue par la bénéficiaire, son époux n'ayant encore touché aucun montant de la part de l'assurance-invalidité ; au moment où elle avait perçu les prestations complémentaires, elle avait donc disposé à bon droit de celles-ci (arrêt du Tribunal fédéral 8C_766/2007 du 17 avril 2008 consid. 4.1) ; ![endif]&gt;![if&gt; -       d’une bénéficiaire de prestations complémentaires qui avait vu sa rente AVS augmenter au décès de son époux et qui avait informé uniquement la caisse de compensation du décès de celui-ci, à l’exclusion des autres assureurs ; les juges cantonaux avaient retenu que le regroupement géographique de différentes caisses était susceptible de créer une certaine confusion dans l’esprit des assurés, a fortiori chez ceux d’un certain âge, et que la négligence reprochée à l’assurée ne pouvait être que légère, ce que le Tribunal fédéral a confirmé (arrêt du Tribunal fédéral P 36/02 du 23 décembre 2002 consid. 3.2).![endif]&gt;![if&gt;</w:t>
      </w:r>
    </w:p>
    <w:p>
      <w:r>
        <w:rPr>
          <w:b/>
        </w:rPr>
        <w:t>E. 2.5</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2.6</w:t>
      </w:r>
    </w:p>
    <w:p>
      <w:r>
        <w:t>Dans la décision entreprise, l’intimé a considéré que la condition de la bonne foi n’était pas réalisée, au motif que le recourant s’était abstenu d’annoncer spontanément les changements relatifs à sa situation financière. ![endif]&gt;![if&gt; Devant la chambre de céans, le recourant fait valoir qu’il ignorait que la diminution de son gain réel allait augmenter son gain hypothétique. Il perd toutefois de vue que, comme l’a relevé l’intimé, aucun revenu hypothétique ne lui a été imputé compte tenu de son statut d’invalide. Le revenu hypothétique retenu par l’intimé concernait celui de son épouse. Or, ainsi que l’a expliqué l’intimé dans sa décision sur opposition, et dans la mesure où celui-ci a été réduit par décision du 22 février 2021, ce n’était pas uniquement la mise à jour des revenus de son épouse qui a entraîné la décision de restitution. Il appert en effet, sur la base des plans de calcul figurant au dossier, que le remboursement des prestations perçues en trop est également dû à la perception, en 2014 puis à nouveau dès le 1 er juin 2017, de revenus supplémentaires perçus par le recourant à titre de perte de salaire, ainsi qu’à l’augmentation de la rente LPP de ce dernier, en particulier dès le 1 er septembre 2016. Or, le recourant a été dûment informé, à maintes reprises depuis l’octroi des prestations complémentaires, de son obligation de communiquer immédiatement tout changement survenant dans sa situation personnelle ou économique. Cette obligation ressortait, tout d’abord, du formulaire de demande de prestations, signé le 21 janvier 2004. Elle était ensuite rappelée chaque année au recourant dans un courrier par lequel ce dernier était invité à signaler les autres événements dont le SPC devait tenir compte, tels que, notamment, « augmentation ou diminution des revenus ». Les pièces justificatives devaient être envoyées au SPC sans délai. Ce n’est toutefois qu’à la suite de la révision de son dossier, initiée en juin 2018, que le SPC a découvert que ses revenus, ainsi que sa rente LPP avaient augmenté. Or, en ne signalant pas ces éléments, qui venaient augmenter son revenu déterminant, le recourant a commis une négligence grave, au sens de la jurisprudence précitée. Pour le reste, en tant que le recourant conteste la prise en compte d’un revenu hypothétique à l’égard de son épouse, il s’en prend à la décision de restitution, partiellement confirmée sur opposition le 22 février 2021, entrée en force. Ce grief est partant exorbitant au litige, qui se limite à la question du bien-fondé du refus de remise de l’obligation de restituer. Il en va de même des arguments développés par le recourant s’agissant des montants pris en compte au titre de « revenus d’activité lucrative » pour les années 2016 et 2017. C’est, partant, à juste titre que l’intimé a retenu que la condition de la bonne foi n’était pas réalisée. L’intimé pouvait donc se dispenser d’examiner la seconde condition, soit l’exposition à une situation financière difficile, dès lors que ces deux conditions sont cumulatives. En conséquence, c’est à bon droit que le SPC n’a pas accordé au recourant une remise de l’obligation de restituer le trop-perçu de CHF 24'538.05.</w:t>
      </w:r>
    </w:p>
    <w:p>
      <w:r>
        <w:rPr>
          <w:b/>
        </w:rPr>
        <w:t>E. 3</w:t>
      </w:r>
    </w:p>
    <w:p>
      <w:r>
        <w:t>Au vu de ce qui précède, le recours est rejeté. ![endif]&gt;![if&gt;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