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A/486/2023 vom 2. April 2024</w:t>
      </w:r>
    </w:p>
    <w:p>
      <w:r>
        <w:t>GE Cour de justice, 2024-04-02, FR</w:t>
      </w:r>
    </w:p>
    <w:p>
      <w:r>
        <w:rPr>
          <w:b/>
        </w:rPr>
        <w:t xml:space="preserve">Quelle: </w:t>
      </w:r>
      <w:r>
        <w:t>https://mcp.opencaselaw.ch/entscheid/ge_gerichte_A_486_2023</w:t>
      </w:r>
    </w:p>
    <w:p>
      <w:r>
        <w:t>FR: GE_GERICHTE A/486/2023 du 2 avril 2024</w:t>
      </w:r>
    </w:p>
    <w:p>
      <w:r>
        <w:t>IT: GE_GERICHTE A/486/2023 del 2 aprile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1 er janvier 2021 est entrée en vigueur la modification du 21 juin 2019 de la LPGA. Dans la mesure où le recours a été interjeté postérieurement au 1 er janvier 2021, il est soumis au nouveau droit (cf. art. 82 a LPGA a contrario).</w:t>
      </w:r>
    </w:p>
    <w:p>
      <w:r>
        <w:rPr>
          <w:b/>
        </w:rPr>
        <w:t>E. 1.4</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certes été rendue postérieurement au 1 er janvier 2022. Toutefois, la demande de prestations ayant été déposée le 22 décembre 2020 et le délai d’attente d’une année venant à échéance en septembre 2020, un éventuel droit à une rente d’invalidité naitrait antérieurement au 1 er janvier 2022 (cf. art. 28 al. 1 let. b et 29 al. 1 LAI), de sorte que les dispositions applicables seront citées dans leur teneur en vigueur jusqu’au 31 décembre 2021.</w:t>
      </w:r>
    </w:p>
    <w:p>
      <w:r>
        <w:rPr>
          <w:b/>
        </w:rPr>
        <w:t>E. 1.5</w:t>
      </w:r>
    </w:p>
    <w:p>
      <w:r>
        <w:t>Le délai de recours est de trente jours (art. 56 LPGA; art. 62 al. 1 de la loi sur la procédure administrative du 12 septembre 1985 [LPA - E 5 10]). Interjeté dans la forme et le délai prévus par la loi, le recours est recevable.</w:t>
      </w:r>
    </w:p>
    <w:p>
      <w:r>
        <w:rPr>
          <w:b/>
        </w:rPr>
        <w:t>E. 2</w:t>
      </w:r>
    </w:p>
    <w:p>
      <w:r>
        <w:t>Le litige porte sur le droit du recourant à une rente d’invalidité.</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w:t>
      </w:r>
    </w:p>
    <w:p>
      <w:r>
        <w:rPr>
          <w:b/>
        </w:rPr>
        <w:t>E. 3.2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4.2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4.3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4.4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reconnaitre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5</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w:t>
      </w:r>
    </w:p>
    <w:p>
      <w:r>
        <w:rPr>
          <w:b/>
        </w:rPr>
        <w:t>E. 5.1</w:t>
      </w:r>
    </w:p>
    <w:p>
      <w:r>
        <w:t>Pour fixer le revenu sans invalidité, il faut établir ce que l'assuré aurait – au degré de la vraisemblance prépondérante – réellement pu obtenir au moment déterminant s'il n'était pas invalide (ATF 139 V 28 consid. 3.3.2 ;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144 I 103 consid. 5.3 ; 139 V 28 consid. 3.3.2). Le salaire réalisé en dernier lieu comprend tous les revenus d'une activité lucrative (y compris les gains accessoires, la rémunération des heures supplémentaires effectuées de manière régulière) soumis aux cotisations à l'assurance-vieillesse et survivants. À cet effet, on se fondera en principe sur les renseignements fournis par l'employeur (arrêt du Tribunal fédéral 9C_434/2023 du 30 novembre 2023 consid. 3 et la référence). Ce n'est qu'en présence de circonstances particulières qu'il peut se justifier qu'on s'en écarte et qu'on recoure aux données statistiques résultant de l’ESS éditée par l'Office fédéral de la statistique (arrêts du Tribunal fédéral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I 168/05 du 24 avril 2006 consid. 3.3 et B 80/01 du 17 octobre 2003 consid. 5.2.2).</w:t>
      </w:r>
    </w:p>
    <w:p>
      <w:r>
        <w:rPr>
          <w:b/>
        </w:rPr>
        <w:t>E. 5.2</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w:t>
      </w:r>
    </w:p>
    <w:p>
      <w:r>
        <w:rPr>
          <w:b/>
        </w:rPr>
        <w:t>E. 5.2.1</w:t>
      </w:r>
    </w:p>
    <w:p>
      <w:r>
        <w:t>Toutefois, lorsque cela apparait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respectivement T17 (à partir de 2012) si cela permet de fixer plus précisément le revenu d'invalide et que le secteur en question est adapté et exigible (ATF 133 V 545 et les références citées ; arrêts du Tribunal fédéral 8C_124/2021 du 2 août 2021 consid. 4.4.1 et 8C_111/2021 du 30 avril 2021 consid. 4.2.1 et les références).</w:t>
      </w:r>
    </w:p>
    <w:p>
      <w:r>
        <w:rPr>
          <w:b/>
        </w:rPr>
        <w:t>E. 5.2.2</w:t>
      </w:r>
    </w:p>
    <w:p>
      <w:r>
        <w:t>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 ATF 126 V 75 consid. 5b/aa-cc).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apparaitre sa propre appréciation comme la mieux appropriée (ATF 126 V 75 consid. 6 ; 123 V 150 consid. 2 et les références ; arrêt du Tribunal fédéral 8C_337/2009 du 18 février 2010 consid. 7.5).</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7</w:t>
      </w:r>
    </w:p>
    <w:p>
      <w:r>
        <w:t>En l’occurrence, l’intimé s’est fondé, pour rendre la décision litigieuse, sur le rapport d’expertise du CEMed du 1 er juin 2022.</w:t>
      </w:r>
    </w:p>
    <w:p>
      <w:r>
        <w:rPr>
          <w:b/>
        </w:rPr>
        <w:t>E. 7.1</w:t>
      </w:r>
    </w:p>
    <w:p>
      <w:r>
        <w:t>Fondé sur toutes les pièces du dossier, comprenant une anamnèse, la description des plaintes du recourant, ainsi que d’une journée-type, un examen clinique, des diagnostics et limitations fonctionnelles clairs et une appréciation convaincante de la capacité de travail du recourant, le rapport d’expertise du CEMed du 1 er juin 2022 répond aux critères jurisprudentiels précités pour qu’il lui soit reconnu une pleine valeur probante.</w:t>
      </w:r>
    </w:p>
    <w:p>
      <w:r>
        <w:rPr>
          <w:b/>
        </w:rPr>
        <w:t>E. 7.2</w:t>
      </w:r>
    </w:p>
    <w:p>
      <w:r>
        <w:t>Le recourant conteste la valeur probante de l’expertise du CEMed, au motif que ses médecins-traitants ont conclu de manière divergente. Il a communiqué des rapports des Drs D______ et C______.</w:t>
      </w:r>
    </w:p>
    <w:p>
      <w:r>
        <w:rPr>
          <w:b/>
        </w:rPr>
        <w:t>E. 7.2.1</w:t>
      </w:r>
    </w:p>
    <w:p>
      <w:r>
        <w:t>S’agissant de la Dre D______, elle exclut, dans son dernier rapport du 15 décembre 2023, la présence d’un diagnostic de dépression selon la CIM-10 pour ne retenir qu’une « répercussion dépressive », de sorte que son avis n’est pas divergent de celui de l’experte F______, qui a exclu un épisode dépressif moyen, en l’absence de critères suffisants et de l’existence d’une probable majoration de troubles physiques pour raisons psychologiques.</w:t>
      </w:r>
    </w:p>
    <w:p>
      <w:r>
        <w:rPr>
          <w:b/>
        </w:rPr>
        <w:t>E. 7.2.2</w:t>
      </w:r>
    </w:p>
    <w:p>
      <w:r>
        <w:t>Quant au rapport du Dr C______ du 28 décembre 2023, il confirme une capacité de travail du recourant de 100% dans une activité adaptée, ce qui va dans le même sens que les conclusions de l’expert rhumatologue G______.</w:t>
      </w:r>
    </w:p>
    <w:p>
      <w:r>
        <w:rPr>
          <w:b/>
        </w:rPr>
        <w:t>E. 7.3</w:t>
      </w:r>
    </w:p>
    <w:p>
      <w:r>
        <w:t>Le recourant fait encore valoir que les céphalées dont il souffre n’ont pas été prises en compte. Le recourant s’est plaint de céphalées du côté droit quotidiennes qui font « de la brouille dans la tête » (expertise CEMed psychiatrique p. 10). L’expert rhumatologue a indiqué qu’elles étaient sans substrat organique et qu’elles ne pouvaient être expliquées (expertise CEMed rhumatologique p. 19). Le recourant fait cependant valoir les conclusions du rapport de l’IRM cérébrale du 30 août 2022, selon lesquelles les quelques anomalies de signal FLAIR de la substance blanche pourraient éventuellement avoir pour cause les céphalées mais que celles-ci pourraient aussi être dues à une éventuelle cause toxique ou médicamenteuse. Ces hypothèses sont insuffisamment précises pour pouvoir établir une cause organique aux céphalées. On constate en outre que l’IRM subséquente du 24 mars 2023 citée dans le bilan diagnostique du 27 avril 2023 mentionne seulement des minimes lésions de la substance blanche fronto-pariétale aspécifiques et que le recourant fait lui-même un lien entre la prise de psychotropes et les céphalées (il dit avoir arrêté son traitement en raison des effets secondaires de céphalées et vertiges). Au demeurant, les céphalées ont été prises en compte et incluses par les experts du CEMed dans le diagnostic de syndrome douloureux somatoforme persistant retenu par l’expert psychiatre, faute de cause organique. Une expertise neurologique n’apparait, dans ses conditions, pas nécessaire.</w:t>
      </w:r>
    </w:p>
    <w:p>
      <w:r>
        <w:rPr>
          <w:b/>
        </w:rPr>
        <w:t>E. 7.4</w:t>
      </w:r>
    </w:p>
    <w:p>
      <w:r>
        <w:t>Le recourant mentionne une série d’erreurs dans le rapport d’expertise du CEMed. Celles-ci, mineures, ne sont toutefois pas à même d’ôter la valeur probante du rapport d’expertise. Elles portent en effet sur l’état civil du recourant et ses qualifications.</w:t>
      </w:r>
    </w:p>
    <w:p>
      <w:r>
        <w:rPr>
          <w:b/>
        </w:rPr>
        <w:t>E. 7.5</w:t>
      </w:r>
    </w:p>
    <w:p>
      <w:r>
        <w:t>Le recourant estime qu’il incombait aux experts de fournir des indications concrètes sur le type d’emploi exigible. À cet égard, il sera rappelé que la tâche du médecin consiste à porter un jugement sur l'état de santé et à indiquer dans quelle mesure et pour quelles activités l'assuré est incapable de travailler. Sur la base de ces informations, les services de réadaptation professionnelle déterminent concrètement quels travaux on peut encore raisonnablement exiger (arrêt du Tribunal fédéral 9C_484/2016 du 10 février 2017 consid. 4.2.1 et les références). Ainsi, selon une jurisprudence constante, l'évaluation des activités adaptées aux limitations fonctionnelles est du ressort de l'administration, qui doit éventuellement faire appel à des spécialistes tels que des conseillers professionnels, et non du médecin, à qui il incombe en premier lieu de déterminer lesdites limitations fonctionnelles (ATF 140 V 193 consid. 3.2 ; 107 V 17 consid. 2b ; arrêt du Tribunal fédéral 8C_545/2012 du 25 janvier 2013 consid. 3.2.1). Par ailleurs, le salaire statistique est suffisamment représentatif de ce que le recourant serait en mesure de réaliser en tant qu’invalide, dès lors qu’il recouvre un large éventail d’activités variées et non qualifiées compatibles avec ses limitations fonctionnelles (cf. infra consid. 8).</w:t>
      </w:r>
    </w:p>
    <w:p>
      <w:r>
        <w:rPr>
          <w:b/>
        </w:rPr>
        <w:t>E. 7.6</w:t>
      </w:r>
    </w:p>
    <w:p>
      <w:r>
        <w:t>Enfin, le recourant se prévaut du bilan diagnostique du 27 avril 2023. Celui-ci conclut à la présence d’un épisode dépressif d’intensité moyenne associé aux symptômes anxieux et à un déficit cognitif modéré à avancé. S‘agissant du diagnostic psychiatrique, comme relevé par l’intimé, il est en contradiction avec celui posé par la psychiatre traitante, laquelle a effectué un suivi de l’assuré sur plusieurs années, et qui estime, le 15 décembre 2023, qu’un diagnostic de dépression n’est pas réalisé, mais qu’il s’agit uniquement d’une répercussion dépressive. S’agissant des déficits cognitifs, le bilan diagnostique précité témoigne de limitations fonctionnelles significatives, lesquelles pourraient avoir un impact sur une capacité de travail. Cependant, comme relevé par l’intimé, ce déficit est objectivé en février 2023, soit postérieurement à la décision litigieuse du 10 janvier 2023. Cette aggravation neuropsychologique a également été attestée par la Dre D______ le 15 décembre 2023, soit également postérieurement à la décision litigieuse. En conséquence, cette aggravation pourrait être prise en compte dans le cadre d’une éventuelle nouvelle demande de prestations.</w:t>
      </w:r>
    </w:p>
    <w:p>
      <w:r>
        <w:rPr>
          <w:b/>
        </w:rPr>
        <w:t>E. 8.1</w:t>
      </w:r>
    </w:p>
    <w:p>
      <w:r>
        <w:t>Compte tenu des limitations fonctionnelles retenues par les experts du CEMed, est exigible du recourant une activité exercée à taux de 100% qui évite les travaux en élévation du membre supérieur droit à plus de 90 degrés durant une période cumulée de 2 heures par jour ou à plus de 60 degrés plus de 3 heures par jour ; qui évite les travaux en hyperflexion ou à genoux, la montée ou descente d’escaliers ou de barreaux d’échelles ou les travaux nécessitant des torsions répétées des membres inférieurs.</w:t>
      </w:r>
    </w:p>
    <w:p>
      <w:r>
        <w:rPr>
          <w:b/>
        </w:rPr>
        <w:t>E. 8.2</w:t>
      </w:r>
    </w:p>
    <w:p>
      <w:r>
        <w:t>S’agissant du calcul du degré d’invalidité, les salaires statistiques utilisés par l’intimé pour déterminer le revenu d’invalide recouvrent un large éventail d’activités respectant les limitations fonctionnelles précitées. Contrairement à l’avis du recourant, il ne se justifie pas, au vu de la jurisprudence précitée, de prendre en compte le revenu issu de l’ESS 2018, secteur 3 services, homme, niveau 1, plutôt que le revenu, tous secteurs confondus, total, homme, niveau 1. Leur prise en compte peut donc être confirmée. En outre, l’abattement de 10% admis par l’intimé, en raison des limitations fonctionnelles du recourant, tient suffisamment compte de la situation de celui-ci et les autres critères pertinents ne sont pas réalisés. En effet, le recourant est âgé de 47 ans au moment de la décision litigieuse, est titulaire d’un livret C, a exercé des emplois différents et est reconnu capable d’exercer une activité adaptée à un taux de 100%.</w:t>
      </w:r>
    </w:p>
    <w:p>
      <w:r>
        <w:rPr>
          <w:b/>
        </w:rPr>
        <w:t>E. 8.3</w:t>
      </w:r>
    </w:p>
    <w:p>
      <w:r>
        <w:t>Au demeurant, le calcul du degré d’invalidité auquel l’intimé a procédé peut être confirmé. Dans la mesure où il aboutit à un degré d’invalidité de 10%, celui-ci ne donne pas droit à une rente d’invalidité.</w:t>
      </w:r>
    </w:p>
    <w:p>
      <w:r>
        <w:rPr>
          <w:b/>
        </w:rPr>
        <w:t>E. 9</w:t>
      </w:r>
    </w:p>
    <w:p>
      <w:r>
        <w:t>Au vu de ce qui précède, le recours ne peut qu’être rejeté. Au vu du sort du recours, il y a lieu de condamner le recourant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