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A/486/2022 vom 15. November 2022</w:t>
      </w:r>
    </w:p>
    <w:p>
      <w:r>
        <w:t>GE Cour de justice, 2022-11-15, FR</w:t>
      </w:r>
    </w:p>
    <w:p>
      <w:r>
        <w:rPr>
          <w:b/>
        </w:rPr>
        <w:t xml:space="preserve">Quelle: </w:t>
      </w:r>
      <w:r>
        <w:t>https://mcp.opencaselaw.ch/entscheid/ge_gerichte_A_486_2022</w:t>
      </w:r>
    </w:p>
    <w:p>
      <w:r>
        <w:t>FR: GE_GERICHTE A/486/2022 du 15 novembre 2022</w:t>
      </w:r>
    </w:p>
    <w:p>
      <w:r>
        <w:t>IT: GE_GERICHTE A/486/2022 del 15 novembre 2022</w:t>
      </w:r>
    </w:p>
    <w:p>
      <w:pPr>
        <w:pStyle w:val="Heading2"/>
      </w:pPr>
      <w:r>
        <w:t>Erwägungen</w:t>
      </w:r>
    </w:p>
    <w:p>
      <w:r>
        <w:rPr>
          <w:b/>
        </w:rPr>
        <w:t>E. 15</w:t>
      </w:r>
    </w:p>
    <w:p>
      <w:r>
        <w:t>ème Chambre En la cause Monsieur A______, Poste restante, à GENÈVE recourant contre OFFICE DE L’ASSURANCE-INVALIDITÉ DU CANTON DE GENÈVE, sis rue des Gares 12, GENÈVE intimé EN FAIT A. a. Monsieur A______ (ci-après : l’assuré ou le recourant), ressortissant franco-suisse né le ______ 1966, divorcé, sans enfants, titulaire d’une maturité commerciale obtenue en 1988, a déposé, le 30 janvier 2020, une demande de prestations auprès de l’office de l’assurance-invalidité (ci-après : l’OAI ou l’intimé), mentionnant que son activité actuelle était celle d’assistant de vie d’une personne âgée, depuis le 1 er mai 2019, à un taux d’activité de 20%, et qu’il avait travaillé en qualité de secrétaire auprès du département de l’instruction publique (ci-après : DIP) à 60% du 1 er septembre 2008 au 30 novembre 2010. En incapacité de travail complète du 19 août au 19 septembre 2019, il présentait des troubles obsessionnels compulsifs et une dépression grave et chronique, affections pour lesquelles il était suivi depuis 2002 par le docteur B______, spécialiste en médecine interne générale, dont la prise en charge était complétée depuis le 4 mars 2019 par le docteur C______, psychiatre exerçant à Annemasse et Reignier (France). ![endif]&gt;![if&gt; b. Par courrier du 19 février 2020 à l’OAI, l’assuré a indiqué que son activité d’assistant de vie au taux de 20% était exercée à Moëns (France) et toujours en cours. ![endif]&gt;![if&gt; c. Dans un rapport du 9 mars 2020, le Dr B______ a mentionné que le traitement de l’assuré et son incapacité de travail totale remontaient à 2006, en raison d’un état dépressif chronique avec troubles obsessionnels compulsifs. S’y ajoutaient des idées paranoïaques et des crises de panique. Outre ces diagnostics, l’assuré avait subi un infarctus du myocarde en octobre 2019 et présentait un syndrome des jambes sans repos depuis septembre 2019, sans effet sur la capacité de travail. ![endif]&gt;![if&gt; d. Dans un rapport du 8 juin 2020, le Dr C______ a posé les diagnostics incapacitants de troubles obsessionnels compulsifs (F42.0) et de personnalité anxieuse (F60.6). Ces troubles, pour lesquels l’assuré était auparavant soigné à Genève, remontaient à 2010-2011 et envahissaient de plus en plus le quotidien, que ce soit sur un plan privé ou professionnel ; on observait une ankylose et une inertie à la réalisation des tâches quelles qu’elles soient. Les ressources socio-relationnelles étaient pauvres, mais la capacité cognitive préservée. La capacité de travail, qui était difficile à évaluer en consultation, serait à tester dans le cadre d’un stage d’évaluation. Interrogé sur les limitations fonctionnelles liées aux diagnostics précités, le Dr C______ a indiqué que celles-ci se manifestaient par de la « procrastination [ ] et [du] parasitisme idéique de pensées intrusives perturbant et freinant la disponibilité aux tâches professionnelles ». Depuis le début de la prise en charge, l’évolution allait dans le sens d’une aggravation et d’un épuisement de l’assuré. ![endif]&gt;![if&gt; e. Le 2 juillet 2020, l’assuré a complété un questionnaire relatif à son statut en indiquant que sans son atteinte à la santé, il exercerait une activité administrative dans la vente au détail, ce depuis fin 2010, à 85% pour avoir un revenu décent. Étant trop malade pour travailler et souffrant de dépression, il n’avait pas entrepris de démarches concrètes pour rechercher un emploi. Depuis la perte de son emploi principal fin 2010, il avait épuisé toutes ses économies et dépendait d’autrui pour sa subsistance.![endif]&gt;![if&gt; f. Par avis du 15 octobre 2020, le service médical régional de l’assurance-invalidité (ci-après : SMR) a estimé que l’examen des pièces médicales ne permettait pas d’évaluer la sévérité des atteintes à la santé et qu’ainsi, la réalisation d’une expertise psychiatrique était nécessaire.![endif]&gt;![if&gt; g. Par pli du 4 novembre 2020, l’OAI a informé l’assuré que l’experte pressentie était la doctoresse D______, spécialiste en neurochirurgie, psychiatrie et psychothérapie, qu’il pouvait adresser des questions complémentaires à celles, produites en annexe, qui seraient soumises à l’experte et faire valoir d’éventuels motifs de récusation à l’encontre de la Dresse D______.![endif]&gt;![if&gt; h. La Dresse D______, assistée de Madame E______, psychologue FSP, a reçu l’assuré en entretien les 7 et 14 janvier 2021 et a rendu ses conclusions le 25 janvier 2021. Elle a posé les diagnostics de troubles dépressifs récurrents moyens avec syndrome somatique (F33.1), présent depuis août 2019, de trouble obsessionnel compulsif avec des idées ou ruminations obsédantes au premier plan (F42.0) et de trouble de la personnalité anankastique, évitante, émotionnellement labile de type impulsif et paranoïaque actuellement non décompensé. Sur ces trois diagnostics, seuls les deux premiers avaient une répercussion sur la capacité de travail. Interrogée sur la capacité de travail dans l’activité exercée jusqu’ici, soit celle de proche aidant (au service de sa mère), l’experte a répondu que cette capacité était actuellement de 50% sans baisse de rendement (ou de 100% avec une baisse de rendement de 50%), ce depuis août 2019. Dans une activité adaptée (ce qui était le cas de l’activité de proche aidant, pour autant qu’elle n’implique pas la conduite d’un véhicule automobile), la capacité de travail était de 50% sans baisse de rendement. Cependant, la situation n’était pas stabilisée et devait être réévaluée d’ici une année après la mise en place de mesures thérapeutiques (suivi psychothérapeutique à raison d’une fois par semaine et changement du traitement antidépresseur). ![endif]&gt;![if&gt; i. Par avis du 3 février 2021, le SMR a fait siennes les conclusions de l’expertise et a retenu, à titre de limitations fonctionnelles, un ralentissement psychomoteur modéré verbal, moteur et idéique, des troubles de la concentration, surtout subjectifs, une fatigue objectivable, une tristesse modérée présente la plupart de la journée, une faible estime de soi, avec isolement social partiel, mais pas total, avec anhédonie partielle, avec des idées obsédantes et des obsessions qui faisaient que l’assuré perdait environ quatre heures et demi par jour.![endif]&gt;![if&gt; j. Le 22 mars 2021, l’OAI a effectué une enquête économique sur le ménage. Étant donné qu’il n’avait pas de domicile fixe mais était hébergé en alternance chez sa mère, en France voisine, et chez une amie, à Genève, l’assuré s’est rendu dans les locaux de l’OAI aux fins d’un entretien avec l’enquêtrice. Sur la base des informations recueillies à cette occasion, l’OAI a conclu à un empêchement (pondéré comme non pondéré) de 16% dans les travaux habituels, déterminé de la manière suivante :![endif]&gt;![if&gt; Travaux Exigibilité en % Pondération en % Empêchement en % Empêchement pondéré Alimentation 28% 20% 5.6% Exigibilité 0% 20% 5.6% Entretien du logement 24% 20% 4.8% Exigibilité 0% 20% 4.8% Achats et courses diverses 10% 20% 2% Exigibilité 0% 20% 2% Lessive et entretien des vêtements 18% 20% 3.6% Exigibilité 0% 20% 3.6% Soins et assistance aux enfants et aux proches (conjoint et parents en ligne directe) 20% 0% 0% Exigibilité 0 % 0% 0% Total des champs d’activité 100% Total de l’exigibilité retenue 0% Total – empêchement pondéré sans exigibilité 16% Total – empêchement pondéré avec exigibilité 16% L’enquêtrice a détaillé les empêchements pour chaque poste, qu’elle a évalués en tenant compte de la capacité de travail de 50% et des limitations fonctionnelles mentionnées dans l’avis du 3 février 2021 du SMR. Elle n’a tenu compte d’aucune exigibilité à la charge de la mère de l’assuré, âgée de 88 ans et gravement atteinte dans sa santé. Entre 2018 et 2020, l’assuré avait exercé un emploi de proche-aidant à 20% auprès de sa mère. Depuis janvier 2021, il ne recevait plus aucun revenu, car sa mère ne pouvait plus le rémunérer en tant que proche aidant. Elle avait désormais besoin de soins plus importants et faisait intervenir un service d’aide à domicile pour les soins de base dont elle avait besoin. B. a. Par projet de décision du 9 avril 2021, l’OAI a octroyé un quart de rente d’invalidité à l’assuré dès le 1 er août 2020. Le statut d’assuré retenu dans le cas concret était celui d’une personne se consacrant à 85% à son activité professionnelle et, pour les 15% restants, à l’accomplissement de ses travaux habituels. Il ressortait de l’instruction médicale que depuis le mois d’août 2019 (correspondant au début du délai d’attente d’un an), l’incapacité de travail de l’assuré était de 50% dans toute activité entrant en ligne de compte, de sorte que l’incapacité de gain était de 50% à compter du 1 er août 2020. Dans la sphère des travaux habituels, l’empêchement était de 16%. En tenant compte de la perte économique de 50% subie dans la sphère professionnelle (85%), respectivement de l’empêchement de 16% subi dans la sphère des travaux habituels (15%), le taux d’invalidité s’élevait à 45% (soit 42.5% + 2.4%), ouvrant ainsi le droit à un quart de rente de l’assurance-invalidité. ![endif]&gt;![if&gt; b. Par pli du 3 mai 2021, l’assuré a contesté ce projet en soutenant en substance que son incapacité de travail avait été sous-estimée et qu’une rente correspondant à un taux d’invalidité compris entre 50 et 70% était plus en adéquation avec son état d’épuisement.![endif]&gt;![if&gt; c. Le 3 juin 2021, l’assuré a interjeté recours à la chambre des assurances sociales de la Cour de justice (ci-après : chambre de céans) contre ce projet de décision et a conclu à l’octroi d’une rente supérieure à un quart de rente. ![endif]&gt;![if&gt; À l’appui de son écriture, il a produit un rapport du 2 juin 2021 du Dr C______ selon lequel si l’assuré présentait une performance cognitive instantanée correcte, voire normale, cette performance au sens scientifique du terme s’amenuisait rapidement sous la pression de pensées intrusives. Dès lors, il paraissait légitime de réexaminer le taux d’invalidité retenu en fonction de cette fatigabilité qui entrecoupait les moments de disponibilité psychique au travail de l’assuré. d. Par réponse du 14 juin 2021, l’OAI a proposé de déclarer ce recours sans objet, étant donné qu’il n’avait pas été interjeté contre une décision.![endif]&gt;![if&gt; e. Le 5 juillet 2021, l’assuré a répliqué en soutenant qu’il était faux de prétendre qu’aucune décision n’avait été rendue et que l’OAI essayait de contourner le fonds du litige, « à savoir le débat médical, en présentant un historique administratif erroné et incomplet ». ![endif]&gt;![if&gt; f. Par arrêt ATAS/893/2021 du 31 août 2021, rendu dans la cause enregistrée sous le numéro de procédure A/1912/2021, la chambre de céans a jugé que le recours était prématuré et, partant, irrecevable.![endif]&gt;![if&gt; g. Par avis du 9 novembre 2021, le docteur F______, médecin du SMR, a estimé que le rapport du 2 juin 2021 du Dr C______ n’apportait pas d’éléments médicaux objectivables compatibles avec une modification de l’état de santé de l’assuré depuis l’expertise réalisée par la Dresse D______. Dans ces circonstances, les conclusions du rapport du SMR du 3 février 2021 restaient valables.![endif]&gt;![if&gt; h. Par décision du 18 novembre 2021, l’OAI a considéré que les arguments soulevés à l’encontre du projet de décision du 9 avril 2021 n’étaient pas de nature à modifier sa précédente appréciation. Aussi a-t-il octroyé à l’assuré un quart de rente à compter du 1 er août 2020, correspondant à une rente mensuelle de CHF 358.- jusqu’au mois de décembre 2020, majorée à CHF 361.- dès le mois de janvier 2022. ![endif]&gt;![if&gt; C. a. Par pli du 3 février 2022, l’assuré a adressé à l’office cantonal des assurances sociales (ci-après : OCAS) une copie du courrier qu’il avait adressé le 5 juillet 2021 à la chambre de céans dans le cadre de la procédure A/1912/2021 et a invité l’OCAS à prendre en compte le rapport du 2 juin 2021 du Dr C______.![endif]&gt;![if&gt; b. Le 9 février 2022, l’OAI a transmis, pour raisons de compétence, l’envoi du 3 février 2022 et ses annexes à la chambre de céans.![endif]&gt;![if&gt; c. Par courrier du 14 février 2022, la chambre de céans a informé l’assuré que son recours du 3 février 2022 ne remplissait pas, en l’état, les conditions de recevabilité. Aussi l’a-t-elle invité à le rendre conforme aux réquisits formels en la matière.![endif]&gt;![if&gt; d. Par acte du 23 février 2022, le recourant a conclu en substance à la réformation de la décision du 18 novembre 2021, en ce sens que la chambre de céans était invitée à dire et constater qu’il avait droit à une rente correspondant à un taux d’invalidité de 75%. ![endif]&gt;![if&gt; À l’appui de ses conclusions, il a fait valoir que lors des tests que l’experte-psychiatre lui avait fait passer, il avait certes obtenu d’assez bons résultats à certains d’entre eux, notamment les tests de concentration et de discernement, mais qu’il n’était pas en mesure de maintenir la capacité mesurée sur une période prolongée de plusieurs heures, comme en attestait le rapport du 2 juin 2021 du Dr C______. En réalité, son état de santé lui permettait de réaliser un salaire correspondant à une activité exercée à un taux compris entre 15 et 25%, ce qui n’était pas suffisant pour mener une vie décente. De plus, aucune enquête ménagère n’avait été effectuée à son domicile : il avait seulement été convoqué à un entretien durant lequel il n’avait pas eu l’occasion de décrire son état de santé, notamment pour ce qui touchait à l’exercice de ses « activités de ménage et de ravitaillement, etc. ». Par ailleurs, pour les tâches ménagères, il avait bénéficié, jusqu’au décès de sa mère, le 15 janvier 2022, de l’aide de la femme de ménage de cette dernière en matière de ménage ou de préparation des repas. Depuis lors, il ne recevait plus aucun « support familial ». e. Par réponse du 16 mars 2022, l’intimé a conclu au rejet du recours en renvoyant pour l’essentiel aux conclusions du rapport d’expertise psychiatrique du 25 janvier 2021.![endif]&gt;![if&gt; f. Le 31 mars 2022, le recourant a répliqué en contestant la valeur probante de l’expertise, motif pris que le Dr C______, dont le rapport était précis et les explications détaillées, mentionnait des aspects fondamentaux que l’experte ne pouvait appréhender en un temps aussi court et par le biais d’une analyse aussi générale. ![endif]&gt;![if&gt; g. Par courrier du 12 avril 2022, l’intimé a indiqué que l’écriture du 31 mars 2022 n’appelait pas de remarques supplémentaires de sa part.![endif]&gt;![if&gt; h. Par pli du 4 mai 2022, le recourant a persisté dans ses conclusions en indiquant que l’absence de remarques supplémentaires de la part de l’intimé confirmait la qualité et la valeur des analyses qu’il avait faites dans ses précédents courriers.![endif]&gt;![if&gt; i. Le 16 mai 2022, la chambre de céans a transmis, pour information, une copie de ce courrier à l’intimé.![endif]&gt;![if&gt; j. Sur quoi,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![endif]&gt;![if&gt; 2.1 À teneur de l’art. 1 al. 1 LAI, les dispositions de la LPGA s’appliquent à l’assurance-invalidité, à moins que la loi n’y déroge expressément. ![endif]&gt;![if&gt; 2.2 Le 1 er janvier 2021 est entrée en vigueur la modification du 21 juin 2019 de la LPGA. Dans la mesure où le recours a été interjeté postérieurement au 1 er janvier 2021, il est soumis au nouveau droit (cf. art. 82 a a contrario LPGA).![endif]&gt;![if&gt; 2.3 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 3.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L’art.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omis.![endif]&gt;![if&gt; Selon l’art. 38 al. 4 let. c LPGA, les délais en jours ou en mois fixés par la loi ou l’autorité ne courent pas du 18 décembre au 2 janvier inclusivement. Aux termes de l’art. 39 al. 2 LPGA, applicable par analogie en vertu de l’art. 60 al. 2 LPGA, lorsqu’une partie s’adresse en temps utile à un assureur incompétent, le délai est réputé observé. Le respect du délai de recours, qui doit être examiné d’office, constitue une condition dont la non réalisation est sanctionnée de plein droit par l’irrecevabilité du recours (cf. Suzanne BOLLINGER, in Frésard-Fellay, Klett, Leuzinger [éd.], Basler Kommentar, Allgemeiner Teil des Sozialversicherungsrechts, 2020, n. 3 ad art. 60 LPGA).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et les références). Selon la jurisprudence, le fardeau de la preuve de la notification d’un acte et de la date à laquelle celui-ci a été notifié incombe en principe à l’autorité qui entend en tirer une conséquence juridique (ATF 129 I 8 consid. 2.2, 124 V 400 consid. 2a, 122 I 97 consid. 3b, 114 III 51 consid. 3c et 4, 103 V 63 consid. 2a), laquelle supporte donc les conséquences de l’absence de preuve, en ce sens que, si la notification ou sa date sont contestées et s’il existe un doute à ce sujet, il y a lieu de se fonder sur les déclarations du destinataire de l’envoi (arrêt du Tribunal fédéral 9C_413/2011 du 15 mai 2012 consid. 4.3). Datée du jeudi 18 novembre 2021 et postée en courrier A, la décision litigieuse n’a pas été envoyée en poste restante au recourant (contrairement à plusieurs communications antérieures de l’intimé), mais à l’adresse d’un tiers, soit « c/o Madame G______, avenue H______, 1219 Le Lignon », où elle a été reçue au plus tôt le vendredi 19 novembre 2021. Dans cette hypothèse, et pour autant que la boîte aux lettres associée à la personne et à l’adresse citées puisse être considérée comme étant dans la sphère de puissance du destinataire de la décision, le délai de recours aurait commencé à courir le 20 novembre 2021 avant d’être suspendu du 18 décembre 2021 au 2 janvier 2022 et d’arriver à échéance le 4 janvier 2022. Interjeté le 3 février 2022, le recours serait ainsi tardif, étant toutefois précisé que le recourant, qui n’a pas demandé de restitution de délai, ne mentionne pas non plus dans ses divers courriers à quelle date il a reçu la décision attaquée. Cela étant, la question de la recevabilité de l’acte du 3 février 2022 peut souffrir dans ce cas de rester ouverte, dès lors que le recours doit être de toute manière rejeté pour les motifs exposés ci-après. 4. Le litige porte sur le droit du recourant à une rente supérieure au quart de rente octroyé.![endif]&gt;![if&gt;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6. ![endif]&gt;![if&gt; 6.1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6.2 ![endif]&gt;![if&gt; 6.2.1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 la CIM ou le DSM-IV (ATF 143 V 409 consid. 4.5.2 ; ATF 141 V 281 consid. 2.1 et 2.1.1; ATF 130 V 396 consid. 5.3 et 6). 6.2.2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références).![endif]&gt;![if&gt;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6.2.3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(ressources).![endif]&gt;![if&gt;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7. ![endif]&gt;![if&gt; 7.1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2).![endif]&gt;![if&gt; 7.2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7.3 Sans remettre en cause le principe de la libre appréciation des preuves, le Tribunal fédéral des assurances a posé des lignes directrices en ce qui concerne la manière d’apprécier certains types d’expertises ou de rapports médicaux.![endif]&gt;![if&gt; 7.3.1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7.3.2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4.3.1).![endif]&gt;![if&gt; 7.3.3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 7.3.4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9C_776/2009 du 11 juin 2010 consid. 2.2).![endif]&gt;![if&gt; 8. ![endif]&gt;![if&gt; 8.1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5a).![endif]&gt;![if&gt; 8.2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 9. ![endif]&gt;![if&gt; 9.1 Faisant sien l’avis du SMR du 3 février 2021, lui-même fondé sur le rapport d’expertise psychiatrique du 25 janvier 2021, l’intimé considère que le recourant présente une capacité de travail de 50% dans toute activité entrant en ligne de compte (y compris l’activité habituelle) depuis août 2019, et une incapacité de gain de 50% à l’issue du délai d’attente d’un an, soit au 1 er août 2020. La décision litigieuse retient également que compte tenu d’une perte de gain de 50%, le degré d’invalidité pour la part active (85%) s’élève à 42.5% (soit 50 x 85/100), alors que dans la part consacrée aux travaux habituels (15%), il se monte à 2.4%, compte tenu d’un empêchement de 16% (soit 16 x 15/100), ce qui conduit à une invalidité totale de 45% (soit 42.5 + 2.4, arrondi à 45%). ![endif]&gt;![if&gt; Pour sa part, le recourant conteste la capacité de travail exigible de 50% retenue par le rapport d’expertise dans toute activité adaptée (dont l’activité habituelle), motif pris que selon son psychiatre, le Dr C______, cette capacité serait en réalité inférieure en raison d’une fatigabilité entrecoupant les moments de disponibilité psychique au travail. Dans ces conditions, il convient d’examiner tout d’abord la valeur probante du rapport d’expertise psychiatrique du 25 janvier 2021. Dans ce rapport, la Dresse D______ retient en synthèse que le trouble de la personnalité anankastique, évitante, émotionellement labile de type impulsif et paranoïaque (actuellement non décompensé) est sans effet sur la capacité de travail. En revanche, les troubles dépressifs récurrents moyens avec syndrome somatique (F33.11), présents depuis 2019 et au moment de l’expertise, ainsi que le trouble obsessionnel compulsif avec des idées ou ruminations obsédantes au premier plan (F42.0) entrainent des limitations fonctionnelles modérées, mais significatives dans le sens d’un ralentissement psychomoteur modéré verbal, moteur et idéique, des troubles de la concentration surtout subjectifs, une fatigue objectivable, une tristesse modérée présente la plupart de la journée, une faible estime de soi, avec isolement social partiel, mais pas total, avec anhédonie partielle, avec des idées obsédantes et des obsessions qui font que depuis août 2019, la capacité de travail du recourant est réduite à 100% avec une diminution de rendement de 50% ou, exprimé en d’autres termes, à 50%, sans diminution de rendement, dans toute activité n’impliquant pas la conduite d’une automobile. Pour parvenir à cette conclusion, la Dresse D______ a effectué une analyse des indicateurs jurisprudentiels pertinents. En particulier, s’agissant du traitement, elle a objectivé une évolution stationnaire des troubles avec un traitement partiellement adéquat des troubles correspondant aux diagnostics précités ; un changement du traitement antidépresseur s’imposait et la psychothérapie, suivie au rythme d’une fois tous les deux mois, n’était pas assez fréquente. Concernant l’axe « personnalité » (diagnostic de la personnalité, ressources personnelles), l’anamnèse révélait que le recourant présentait de longue date des comportements durables et stables nettement disharmonieux dans plusieurs secteurs du fonctionnement, ce qui permettait à la Dresse D______ de retenir la présence du trouble mixte de la personnalité (anankastique) précité, à l’instar du psychiatre traitant. Même s’il était présent depuis le début de l’âge adulte, ce trouble, qui était actuellement non décompensé, n’avait pas empêché le recourant de travailler sans limitations par le passé et ne l’empêchait actuellement pas de gérer son quotidien. Quant aux troubles dépressifs et au trouble obsessionnel compulsif, ils s’accompagnaient de limitations fonctionnelles modérées au quotidien. S’agissant du contexte social, il apparaissait, au moment de l’expertise, que le recourant avait conservé des capacités et ressources limitées, mais pas inexistantes, car il arrivait, selon l’anamnèse, à garder quelques relations sociales avec des amis et des connaissances, en plus de plusieurs membres de la famille, ce qui permettait à l’experte de retenir un isolement social non pas total, mais partiel depuis août 2019 jusqu’à la date de l’expertise. En ce qui concernait l’aspect « cohérence », l’experte a objectivé une bonne cohérence entre la plupart des plaintes subjectives et le constat objectif, le décalage existant entre la fatigue, les troubles de la concentration et le constat objectif s’inscrivant dans le contexte d’un trouble de la personnalité mixte avec des bénéfices primaires plutôt que secondaires, qui existaient également. Cela étant, au moment de l’expertise, le recourant gardait des capacités et ressources personnelles limitées, mais néanmoins présentes, car tout en étant sous l’emprise d’un ralentissement psychomoteur objectivable modéré, accompagné d’une tristesse modérée, il arrivait à gérer son quotidien, à avoir des contacts sociaux, à faire le ménage en mettant plus de temps, à regarder la télévision, à conduire la voiture, à gérer l’administratif, à faire du ski ou du jardinage, à passer de bons moments en famille ou avec des amis, etc. En conséquence, sous l’angle d’une limitation uniforme du niveau d’activité dans tous les domaines comparables de la vie, il n’y avait pas lieu de retenir de limitations fonctionnelles significatives, mais modérées d’un point de vue psychiatrique depuis août 2019 jusqu’à la date de l’expertise. Quant à la question du poids éventuel des souffrances révélées par l’anamnèse dans la perspective du traitement et de la réadaptation, l’experte était d’avis que le recourant présentait une motivation assez bonne pour une réadaptation professionnelle et bonne pour les antidépresseurs. En conclusion, la Dresse D______ a estimé que les indices jurisprudentiels de gravité pour les troubles diagnostiqués précités (F33.11 et F42.0) étaient remplis depuis août 2019 jusqu’à la date de l’expertise pour une capacité de travail de 50%. La chambre de céans constate que le rapport d’expertise de la Dresse D______ comporte une anamnèse complète et détaillée d’un point de vue médical, familial et personnel, une description du status sur la base de deux entretiens d’expertise, du dossier médical et des plaintes exprimées et, enfin, que les conclusions sont cohérentes et motivées selon les indicateurs jurisprudentiels pertinents. Il convient donc d’en reconnaître la valeur probante. 9.2 D’avis contraire, le recourant soutient en substance que la capacité de travail exigible serait surévaluée par l’experte et qu’il conviendrait d’avoir à l’esprit que les assez bons résultats obtenus à certains tests « notamment de concentration et de discernement », effectués dans le cadre de l’expertise ne sauraient être reproduits sur une période prolongée de plusieurs heures. À cet égard, le recourant renvoie au rapport du 2 juin 2021 du Dr C______, plus particulièrement à l’affirmation selon laquelle « la performance cognitive instantanée au service de son emploi [serait] correcte voire normale [mais] pas robuste », qu’elle s’épuiserait rapidement sous la pression de pensées intrusives.![endif]&gt;![if&gt; La chambre de céans constate cependant qu’il serait erroné de prétendre que les conclusions de l’experte reposeraient sur une analyse incomplète de la situation. Il n’a en effet pas échappé à la Dresse D______ que malgré le score assez bon de 43/60 obtenu au test des matrices de Raven, « dans un temps de concentration maximale de 60 minutes environ » (rapport d’expertise, p. 21), « les indices de gravité des troubles psychiques [ ] sont remplis depuis août 2019 au présent pour une capacité de travail de 50% en lien avec des limitations fonctionnelles modérées mais significatives cliniquement dans le sens d’un ralentissement psychomoteur modéré, des troubles de la concentration subjectifs, d’une fatigue objectivable, d’une tristesse modérée présente la plupart de la journée, d’une faible estime de soi, avec isolement social partiel, mais sans anhédonie totale mais partielle et avec des idées obsédantes et des rituels compulsifs qui font que l’assuré perd quatre heures et demi par jour » (rapport d’expertise, p. 38, point 8.1). Comme on peut le constater, l’examen de la Dresse D______ relève précisément que la concentration maximale a été tenue 60 minutes environ, de sorte que l’argument tiré d’une prétendue extrapolation de cette capacité sur une durée plus longue tombe à faux. En outre, il serait erroné de réduire la portée des conclusions rendues par l’experte (en termes de capacité de travail) au seul test des matrices de Raven puisque l’analyse effectuée, loin de se limiter au test en question, a justement permis à l’experte de constater, entre autres symptômes, un ralentissement psychomoteur modéré, ainsi qu’une fatigue objectivable. Au regard de ces éléments, il apparaît qu’en concluant à une capacité de travail exigible moins étendue que celle retenue par l’experte, sans d’ailleurs la quantifier, le Dr C______ n’explique pas sa différence d’appréciation par des éléments objectivement vérifiables et suffisamment pertinents pour remettre en cause les conclusions bien motivées de l’experte, d’autant plus que ces dernières sont fondées sur une analyse approfondie effectuée au moyen de l’ensemble des indicateurs jurisprudentiels déterminants en matière de troubles psychiques, contrairement au rapport très succinct du 2 juin 2021 du Dr C______. On ajoutera que les remarques faites au sujet de ce rapport concernent mutatis mutandis le rapport du 9 mars 2020 du Dr B______, étant relevé par ailleurs que tout en mentionnant une capacité de travail nulle sans motiver cette appréciation, ce médecin ne se détermine pas sur le point 4.1 du questionnaire de l’OAI (« combien d’heures de travail par jour peut-on raisonnablement attendre de votre patient dans l’activité qu’il a exercée jusqu’ici ? »), mais répond de façon assez contradictoire : « voir avec psy ». 9.3 Compte tenu de ces éléments, la chambre de céans considère que le SMR et, à sa suite, l’intimé, étaient fondés à reprendre à leur compte les conclusions de l’expertise psychiatrique. En conséquence, la chambre de céans constate qu’il est établi, au degré requis de la vraisemblance prépondérante, que depuis août 2019, la capacité de travail du recourant est de 50%, sans diminution de rendement, dans son activité habituelle comme dans une activité adaptée.![endif]&gt;![if&gt; 10. ![endif]&gt;![if&gt; 10.1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10.2 En l’espèce, l’intimé a retenu, sur la base des déclarations du recourant, que sans son atteinte à la santé, ce dernier aurait exercé une activité lucrative au taux de 85% sans invalidité et se serait consacré à son ménage le reste du temps. Le recourant ne conteste ni ce statut mixte ni la répartition retenue, de sorte qu’il y a lieu d’établir son degré d’invalidité sur la base d’une clé de répartition de 85% pour l’activité lucrative, respectivement 15% pour les travaux habituels.![endif]&gt;![if&gt; 11. ![endif]&gt;![if&gt; 11.1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 ATF 104 V 136 consid. 2a). 11.2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d’invalide). Autrement dit, le dernier salaire que l’assuré aurait pu obtenir compte tenu de l’évolution vraisemblable de la situation jusqu’au prononcé de la décision litigieuse – et non celui qu’il aurait pu réaliser s’il avait pleinement utilisé ses possibilités de gain (ATF 125 V 146 consid. 5c/bb) – est comparé au gain hypothétique qu’il pourrait obtenir sur un marché équilibré du travail en mettant pleinement à profit sa capacité résiduelle dans un emploi adapté à son handicap (ATF 125 V 146 consid. 5a). Sur ce dernier point, il y a lieu, en principe, en l’absence d’un revenu effectivement réalisé, de se référer aux données salariales telles qu’elles résultent des enquêtes sur la structure des salaires publiées par l’Office fédéral de la statistique (ATF 126 V 75 consid. 3b). Toutefois, il n’est pas nécessaire de procéder par ce biais lorsque l’assuré est en mesure, malgré son handicap, d’exercer – fût-ce avec une diminution de rendement – l’activité pratiquée antérieurement (arrêt du Tribunal fédéral 9C_599/2011 du 13 janvier 2012, consid. 4.1). Selon la jurisprudence, il est en effet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références).![endif]&gt;![if&gt; 11.3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4).![endif]&gt;![if&gt;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11.4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ATF 137 V 334 consid. 4.2 et les références). Selon ladite circulaire, il est possible de renoncer à l’enquête sur place, mais cela doit être justifié brièvement dans le dossier (ch. 3081 CIIAI). La présence d’un domicile à l’étranger peut constituer un tel motif de renonciation (cf. l’arrêt du Tribunal fédéral I 733/06 du 16 juillet 2007 consid. 4.2.2 et l’arrêt cité).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(ATF 133 V 504 consid. 4.2). La jurisprudence pose comme critère que l’aide ne saurait constituer une charge excessive du seul fait qu’elle va au-delà du soutien que l’on peut attendre de manière habituelle sans atteinte à la santé (ATF 133 V 504 consid. 4.2 précité; 130 V 97 consid. 3.3.3 et les références).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précité et les références; arrêts 8C_748/2019 du 7 janvier 2020 consid. 5.3; 9C_491/2008 du 21 avril 2009 consid. 3). 11.5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2007).![endif]&gt;![if&gt; 11.6 En l’occurrence, l’enquête ménagère du 22 mars 2021, qui a conclu à un empêchement de 16%, s’est certes déroulée sur la base d’un entretien avec le recourant dans les locaux de l’OAI et non sur place. Cependant, au regard des spécificités du cas (recourant hébergé en alternance dans la maison de sa mère en France et dans une chambre chez une amie à Genève) et de la jurisprudence en la matière (ci-dessus : consid. 11.3), cette renonciation de l’enquêtrice, non pas à l’enquête en tant que telle, mais uniquement à un transport sur place, apparaît admissible. Par ailleurs, la chambre de céans est d’avis que le rapport rendu à l’issue de cette enquête est conforme aux réquisits jurisprudentiels en la matière. Force est en effet de constater que l’enquêtrice a détaillé les empêchements rencontrés par le recourant avec précision et qu’elle a bien tenu compte des limitations fonctionnelles retenues par l’experte/le SMR. Sachant par ailleurs que l’experte psychiatre a retenu que les troubles dépressifs et le trouble obsessionnel compulsif s’accompagnaient de limitations fonctionnelles modérées au quotidien qui n’empêchaient pas l’intéressé de faire le ménage en mettant plus de temps (cf. ci-dessus : consid. 9.1), le recourant ne saurait être suivi en tant qu’il soutient que ses problèmes de santé seraient « évidemment aussi invalidants dans un cadre de travail ménager que dans un cadre d’activité professionnelle ». On ne saurait, partant, considérer que l’empêchement de 16% retenu dans les travaux habituels serait contredit par les constatations faites sur le plan médical. C’est également le lieu de rappeler que conformément à son obligation de diminuer le dommage, l’assuré est tenu d’adopter une méthode de travail adéquate et de répartir son travail en conséquence (arrêt du Tribunal 9C_19/2012 du 4 octobre 2012 consid. 5.2). ![endif]&gt;![if&gt; Le recourant fait valoir en outre que sa situation a changé à la suite du décès de sa mère le 15 janvier 2022 et au départ de l’aide de ménage présente dans leur foyer durant de très nombreuses années. Indépendamment des répercussions éventuelles que ces événements entraînent pour le droit aux prestations, il n’en demeure pas moins que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On précisera au surplus qu’il demeure loisible au recourant de saisir en tout temps l’intimé d’une demande de révision, accompagnée notamment de rapports médicaux récents – pas encore soumis à l’intimé au moment de la décision du 18 novembre 2021 – et établissant de façon plausible que son invalidité se serait modifiée de manière à influencer ses droits (cf. art. 87 al. 2 RAI). Il s’ensuit que les changements signalés, en tant qu’ils sont postérieurs à la date de la décision litigieuse (18 novembre 2021), ne sont pas de nature à remettre en cause les conclusions de l’enquête ménagère. En conséquence, la chambre de céans s’en tiendra à l’évaluation de l’enquêtrice, selon laquelle le degré d’invalidité dans la sphère ménagère est de 16%. 12. Il reste à calculer le degré d’invalidité en fonction d’une part de 85% pour l’activité lucrative et de 15% pour les travaux habituels.![endif]&gt;![if&gt; Étant donné que le droit à la rente naît au plus tôt six mois après la date de son dépôt (art. 29 LAI) et que la modification de l’art. 27 bis RAI est entrée en vigueur le 1 er juillet 2018 (cf. ci-dessus : consid. 11.3 et la lettre circulaire AI n° 372), le nouveau mode de calcul de la méthode mixte est applicable à la demande de rente du recourant, celle-ci ayant été déposée après le 1 er juillet 2017, soit le 30 janvier 2020. En ce qui concerne le degré d’invalidité dans la sphère professionnelle, la chambre de céans souligne qu’il n’est en principe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En l’espèce, l’intimé a fixé la perte de gain du recourant directement sur la base de son incapacité de travail en faisant une comparaison en pour-cent. Ce choix ne prête pas le flanc à la critique étant donné que le recourant continue à bénéficier d’une capacité résiduelle de travail dans l’activité habituelle d’auxiliaire de vie/proche-aidant, qui est adaptée (cf. ci-dessus : consid. 9.3 et 11.2), et qu’au moment déterminant pour la comparaison des revenus avec et sans invalidité (cf. ATF 129 V 222 consid. 4.1), soit en août 2020, il exerçait encore cette activité à 20%. Le degré d’invalidité se détermine par conséquent comme suit : dans la sphère professionnelle, compte tenu de la capacité de travail de 50%, l’incapacité de gain est de 50%, ce qui correspond à 42.5%, eu égard à la part professionnelle de 85%. Dans la sphère ménagère, l’invalidité correspond au cumul des empêchements recensés par l’enquêtrice (16%) et s’élève ainsi à 2.4%, vu la part de 15% dévolue aux travaux habituels. Comme la décision attaquée le constate, l’addition de ces taux aboutit à un degré d’invalidité de 45% (44.9% arrondi au pourcent supérieur de 45% [ATF 130 V 121 ]), ouvrant ainsi le droit à un quart de rente à compter du 1 er août 2020 (art. 28 al. 1 let. c LAI). 13. Compte tenu de ce qui précède, le recours, pour peu qu’il soit recevable, doit être rejeté.![endif]&gt;![if&gt; 14. Un émolument de CHF 200.- sera mis à la charge du recourant, qui n’obtient pas gain de cause (art. 69 al. 1 bis LAI).![endif]&gt;![if&gt;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