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A/4855/2007 vom 9. Juni 2005</w:t>
      </w:r>
    </w:p>
    <w:p>
      <w:r>
        <w:t>GE Cour de justice, 2005-06-09, FR</w:t>
      </w:r>
    </w:p>
    <w:p>
      <w:r>
        <w:rPr>
          <w:b/>
        </w:rPr>
        <w:t xml:space="preserve">Quelle: </w:t>
      </w:r>
      <w:r>
        <w:t>https://mcp.opencaselaw.ch/entscheid/ge_gerichte_A_4855_2007</w:t>
      </w:r>
    </w:p>
    <w:p>
      <w:r>
        <w:t>FR: GE_GERICHTE A/4855/2007 du 9 juin 2005</w:t>
      </w:r>
    </w:p>
    <w:p>
      <w:r>
        <w:t>IT: GE_GERICHTE A/4855/2007 del 9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11 mars 2005, Monsieur M______ circulait au guidon d’une moto d’une cylindrée de 125 cm</w:t>
      </w:r>
    </w:p>
    <w:p>
      <w:r>
        <w:rPr>
          <w:b/>
        </w:rPr>
        <w:t>E. 3</w:t>
      </w:r>
    </w:p>
    <w:p>
      <w:r>
        <w:t>Par arrêt du 17 janvier 2006 ( ATA/24/2006 ), le Tribunal administratif a rejeté le recours de M. M______ en rappelant que la durée du retrait de permis était de trois mois au minimum en cas d’infraction grave à la LCR. La Cour de cassation pénale du Tribunal fédéral ayant considéré que l’arrêt attaqué ne permettait pas de déterminer si la vitesse avait été qualifiée à juste titre d’inadaptée, il a annulé l’arrêt du tribunal de céans le 15 juin 2006 ( 6A.21/2006 ). Au terme d’une instruction complémentaire, celui-ci a considéré par arrêt du 12 juin 2007 ( ATA/310/2007 ) que des preuves de la vitesse à laquelle circulait l’intéressé n’avaient pu être réunies mais que la perte de maîtrise constituait à elle seule une faute grave conduisant au retrait de permis de trois mois.</w:t>
      </w:r>
    </w:p>
    <w:p>
      <w:r>
        <w:rPr>
          <w:b/>
        </w:rPr>
        <w:t>E. 4</w:t>
      </w:r>
    </w:p>
    <w:p>
      <w:r>
        <w:t>En conséquence, le recours sera admis et la décision du SAN du 9 juin 2005 annulée. Il ne sera pas perçu d’émolument. Une indemnité de procédure de CHF 1’000.- sera allouée au recourant à la charge de l’Etat de Genève (art. 87 LPA). L’intimé devra supporter les frais de procédure, à hauteur de CHF 175.-.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