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A/482/2012 vom 8. März 2012</w:t>
      </w:r>
    </w:p>
    <w:p>
      <w:r>
        <w:t>GE Cour de justice, 2012-03-08, FR</w:t>
      </w:r>
    </w:p>
    <w:p>
      <w:r>
        <w:rPr>
          <w:b/>
        </w:rPr>
        <w:t xml:space="preserve">Quelle: </w:t>
      </w:r>
      <w:r>
        <w:t>https://mcp.opencaselaw.ch/entscheid/ge_gerichte_A_482_2012</w:t>
      </w:r>
    </w:p>
    <w:p>
      <w:r>
        <w:t>FR: GE_GERICHTE A/482/2012 du 8 mars 2012</w:t>
      </w:r>
    </w:p>
    <w:p>
      <w:r>
        <w:t>IT: GE_GERICHTE A/482/2012 del 8 marzo 2012</w:t>
      </w:r>
    </w:p>
    <w:p>
      <w:pPr>
        <w:pStyle w:val="Heading2"/>
      </w:pPr>
      <w:r>
        <w:t>Regeste</w:t>
      </w:r>
    </w:p>
    <w:p>
      <w:r>
        <w:t>Irrecevable. | La plaignante n'a pas produit l'acte attaqué.</w:t>
      </w:r>
    </w:p>
    <w:p>
      <w:pPr>
        <w:pStyle w:val="Heading2"/>
      </w:pPr>
      <w:r>
        <w:t>Volltext</w:t>
      </w:r>
    </w:p>
    <w:p>
      <w:r>
        <w:t>Genève Cour de Justice (Cour civile) Chambre de surveillance en matière de poursuite et faillites 08.03.2012 A/482/2012</w:t>
      </w:r>
    </w:p>
    <w:p>
      <w:r>
        <w:t>Irrecevable. | La plaignante n'a pas produit l'acte attaqué.</w:t>
      </w:r>
    </w:p>
    <w:p>
      <w:r>
        <w:t>A/482/2012 DCSO/99/2012 du 08.03.2012 ( PLAINT ) , IRRECEVABLE Descripteurs : Irrecevable. Résumé : La plaignante n'a pas produit l'acte attaqué. En fait En droit Par ces motifs RÉPUBLIQUE ET CANTON DE GENÈVE POUVOIR JUDICIAIRE A/482/2012-CS DCSO/99/12 DECISION DE LA COUR DE JUSTICE Chambre de surveillance des Offices des poursuites et faillites DU JEUDI 8 MARS 2012 Plainte 17 LP (A/482/2012-CS) formée en date du 2 février 2012 par Mme B______ . * * * * * Décision communiquée par courrier A à l'Office concerné et par plis recommandés du greffier du à : - Mme B______ . - Office des poursuites . EN FAIT A. a. Par acte posté le 30 janvier 2012, Mme B______ a saisi la Chambre de surveillance. Faisant référence à une poursuite n° 11 xxxx41 V, elle expose ce qui suit : " Suite à une convocation en date du 24 janvier dernier, on m'a signifier un courrier concernant la poursuite pré citée. Une poursuite m'aurait été signifié sur le canton de Vaud, hors je n'ai jamais habité la bas et de plus la personne qui aurait remis la poursuite me l'aurait donné personnellement, ce qui est impossible. La poursuite a été envoyé è l'adresse de ma sœur, qui elle habite sur Vaud " (sic). Mme B______ demande à la Chambre de céans que " la poursuite soit signifiée à (son) adresse afin qu' (elle) puisse en prendre connaissance en toute légalité ". Aucune pièce n'était jointe à cet acte. b. Par courrier, envoyé sous pli recommandé le 14 février 2012, la Chambre de céans a imparti à Mme B______ un délai au 27 suivant pour produire l'acte attaqué, compléter la motivation de sa plainte et prendre des conclusions, sous peine d'irrecevabilité. L'intéressée n'a pas déféré à cette injonction. c. Selon les données de La Poste (Track &amp; Trace), ce pli a été distribué à sa destinataire le 17 février 2012. EN DROIT 1. 1.1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 2.2 En l'espèce, par courrier envoyé sous pli recommandé le 14 février 2012, distribué à sa destinataire le 17, la Chambre de céans a imparti à la plaignante un délai au 27 février 2012 pour produire l'acte attaqué, compléter la motivation de sa plainte et prendre des conclusions, sous peine d'irrecevabilité. La plaignante n'a pas donné suite à cette injonction. Sa plainte doit en conséquence être déclarée irrecevable. 3. La présente décision est prise en application des art. 72 LPA et 9 al. 2 LaLP. Elle sera communiquée à l'Office des poursuites. * * * * * PAR CES MOTIFS, La Chambre de surveillance : Déclare irrecevable la plainte A/482/2012 formée le 30 janvier 2012 par Mme B______. Siégeant : Madame Ariane WEYENETH, présidente; Madame Marilyn NAHMANI et Monsieur Philippe VEILLARD,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