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A/482/2010 vom 20. Mai 2010</w:t>
      </w:r>
    </w:p>
    <w:p>
      <w:r>
        <w:t>GE Cour de justice, 2010-05-20, FR</w:t>
      </w:r>
    </w:p>
    <w:p>
      <w:r>
        <w:rPr>
          <w:b/>
        </w:rPr>
        <w:t xml:space="preserve">Quelle: </w:t>
      </w:r>
      <w:r>
        <w:t>https://mcp.opencaselaw.ch/entscheid/ge_gerichte_A_482_2010</w:t>
      </w:r>
    </w:p>
    <w:p>
      <w:r>
        <w:t>FR: GE_GERICHTE A/482/2010 du 20 mai 2010</w:t>
      </w:r>
    </w:p>
    <w:p>
      <w:r>
        <w:t>IT: GE_GERICHTE A/482/2010 del 20 maggio 2010</w:t>
      </w:r>
    </w:p>
    <w:p>
      <w:pPr>
        <w:pStyle w:val="Heading2"/>
      </w:pPr>
      <w:r>
        <w:t>Regeste</w:t>
      </w:r>
    </w:p>
    <w:p>
      <w:r>
        <w:t>Revendication. Délai. | Plainte rejetée. Rejet de la suspension de la procédure jusqu'à droit connu dans une autre procédure. Revendication tardive et donc abusive. L'administrateur président de la société saisie condamne l'existence de la saisie des actions dès le 25.08.2008 et en tant qu'admninistrateur unique de la société revandiquante, a attendu 15 mois avant de revendiquer. Recours au Tribunal fédéral rejeté par arrêt | LP.106; LP.107; LPA.14</w:t>
      </w:r>
    </w:p>
    <w:p>
      <w:pPr>
        <w:pStyle w:val="Heading2"/>
      </w:pPr>
      <w:r>
        <w:t>Erwägungen</w:t>
      </w:r>
    </w:p>
    <w:p>
      <w:r>
        <w:rPr>
          <w:b/>
        </w:rPr>
        <w:t>E. 07</w:t>
      </w:r>
    </w:p>
    <w:p>
      <w:r>
        <w:t>xxxx83 P et 08 xxxx06 Y. La plaignante explique pour le surplus avoir également repris la dette de Mme E______-R______ concernant une parcelle n° 1xx et une dette de M. R______, grâce à un emprunt de 500'000 fr. auprès du Crédit Suisse. Elle déplore que l'Office ne lui ait pas restitué une cédule, problématique traitée dans le cadre d'autres procédures, soit les A/1708/2009 et A/2702/2009. La plaignante revient sur un pacte d'emption instrumenté le 6 octobre 2000 et prorogé à deux reprises au 13 octobre 2000 et 27 septembre 2002, afin de savoir quelle autorisation l'Office a obtenue pour se démunir de ce gage. C.a. Tant l'Etat de Genève, service des contraventions que l'Etat de Genève, administration fiscale cantonale ont écrit le 16 février 2010 pour indiquer qu'ils s'en rapportaient à justice. C.b. M. V______ a déposé ses observations le 26 février 2010, concluant au rejet de la plainte. Il relève que M. R______ s'était déjà plaint de cette saisie auprès de la Commission de céans le 14 août 2008, au motif qu'il avait trouvé un arrangement, au demeurant au détriment des autres créanciers, avec l'Etude de Me Bruno MEGEVAND. Cette plainte avait finalement été retirée. Il est à noter que M. R______, administrateur-président de la plaignante, n'avait fait à l'époque aucune mention du nantissement de ses actions pour garantir un prêt consenti par la société coopérative. Il estime que c'est à juste titre que l'Office a écarté cette revendication vu l'identité économique manifeste entre les ayants droit des deux sociétés. C.c. L'Etat de Genève, Direction générale de l'agriculture, a fait parvenir ses observations datées du 2 mars 2010. Il fait l'inventaire, à titre informatif, des différentes factures dues tant par la Société X______ que par M. R______ personnellement. C.d. M. U______ a, pour sa part, déposé ses observations en date du 2 mars 2010. Il relève que du fait que M. R______ exerce les fonctions d'administrateur au sein de la Société D______ SA, au sein de laquelle il est également actionnaire, il est également administrateur et associé de la Société X______ qui détient à titre fiduciaire les actions de la Société D______ SA. Ainsi, il conclut que M. R______ est manifestement l'ayant droit économique de ces actions et que c'est donc à juste titre que l'Office a considéré que les actions avaient été remises à la société coopérative dans le seul but de les soustraire aux poursuites. M. U______ relève également que le procès-verbal de saisie a été dressé le 6 août 2008 et la déclaration de revendication est intervenue que le 12 septembre 2009, soit plus d'une année plus tard. Il considère ainsi que la revendication a été manifestement formée " hors du délai raisonnablement exigible ". C.e. M. R______ a écrit à la Commission de céans le 3 mars 2010 pour lui faire parvenir ses observations. Il estime que cette plainte est liée avec les procédures A/2702/2009 et A/1708/2009 déposées par lui-même et sa sœur, Mme S______-R______. Il décrit ses démarches infructueuses auprès de l'Office afin d'obtenir la délivrance de la cédule hypothécaire PJB 1865 d'une valeur de 85'000 fr. en contrepartie de la reprise de la parcelle 171. Il revient sur toute la problématique de ce vaste dossier, tout en ne prenant pas position sur la décision de l'Office du 29 janvier 2010. M. R______ a encore écrit à la Commission de céans les 13 mars 2010, 10 avril 2010 et 29 avril 2010 pour requérir la suspension de l'instruction de cette plainte, dans l'attente du résultat de ses recherches par rapport à une vente aux enchères du 16 décembre 1999 et tous les évènements qui se sont succédé depuis lors. EN DROIT 1.a. La présente plainte a été formée en temps utile auprès de l’autorité compétente contre une mesure sujette à plainte par une personne ayant qualité pour agir par cette voie (art. 17 LP ; art. 10 al. 1 et 13 LaLP ; art. 56R al. 3 LOJ). Elle est donc recevable. 1.b. Lorsque le sort d'une procédure administrative dépend de la solution d'une question de nature pénale, civile ou administrative relevant de la compétence d'une autre autorité et faisant l'objet d'une procédure pendante devant ladite autorité, la suspension de la procédure administrative peut, le cas échéant, être prononcée jusqu'à droit connu sur cette question (art. 14 al. 1 LPA, applicable par renvoi de l'art. 13 al. 5 LaLP). En l'espèce, le sort de la présente procédure, soit de trancher la plainte formée contre la décision de l'Office du 29 janvier 2010 écartant la revendication formée la Société X______, ne dépend pas, contrairement aux allégués de M. R______, du sort d'une autre procédure. Bien au contraire, toutes les problématiques évoquées par M. R______ n'ont pas, contrairement à ce qu'il soutient, d'influence sur la procédure en cours et la problématique des ventes aux enchères de la parcelle n° 1xx a déjà fait l'objet de nombreuses décisions, la dernière en date du 4 mars 2010 ( DCSO/137/10 ). Il n'y a pas lieu ainsi de surseoir à statuer dans le cadre de la présente procédure. 2.a.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 influence ; que le tiers revendiquant soit demandeur ou défendeur, c'est à lui qu'il incombe de prouver le droit qu'il prétend, conformément au principe général de l'art. 8 CC (SJ 2003 I 447 consid. 2.3 ; SJ 1971 42 ss). 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2.b. 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ATF non publié 7B.15/2005 consid. 3.1), la déclaration en question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non publié 7B.15/2005 consid. 3.1 ; ATF 120 III 123 consid. 2a, JdT 1997 II 153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Aucun reproche ne saurait d'ailleurs être fait au tiers de ne pas faire valoir sa prétention tant qu'il ignore que des biens lui appartenant ont été saisis ou séquestrés. On doit donc déterminer à quel moment le tiers a personnellement eu connaissance de la mesure frappant ses biens (ATF non publié 7B.15/2005 consid. 3.1 ; ATF 114 III 92 consid. 1c, JdT 1990 II 72 ; 112 III 59 consid. 2 p. 62/63, JdT 1988 II 94 ; 109 III 18 p. 20 en bas, JdT 1985 II 70 ; Pierre-Robert Gilliéron , ad art. 105 n os 164 à 170). 2.c. En l'espèce, la Commission de céans retient que la plaignante, ayant en son sein le poursuivi en tant qu'administrateur-président, a eu connaissance de la saisie des actions dès le 25 juin 2008, date de l'exécution de la première saisie, voire quelques jours plus tard lorsque M. R______ a reçu le pli recommandé de l'Office. La plaignante n'explique du reste pas les raisons pour lesquelles elle a attendu quinze mois pour présenter sa revendication. Or, il lui incombait de faire valoir d'éventuelles raisons de son retard (ATF 113 III 104 , JdT 1989 II 124 ; ATF 104 III 51 , JdT 1980 II 48) Force est en conséquence d'admettre que la plaignante a annoncé sa revendication dans le seul but de tenter de retarder encore la vente des actions. Un tel procédé doit être considéré comme malicieusement dilatoire et abusif, étant rappelé que le tiers revendiquant est, en vertu des règles de la bonne foi, tenu d'agir aussitôt que les circonstances le lui permettent, pour éviter tort et préjudice au créancier poursuivant. L'obligation d'agir conformément aux règles de la bonne foi est un devoir universel dont la sanction est, en l'espèce, la péremption du droit d'annoncer une revendication (cf. note de Pierre-Robert Gilliéron , ad JdT 1990 II p.79-80). Il s'ensuit que c'est à bon droit que l'Office a rejeté la revendication de la plaignante. 3.             La plaignante s'oppose au fait que l'Office ait retenu l'identité économique entre la Société X______ et de la Société D______ SA, pourvues toutes deux du même administrateur, soit le débiteur, M. R______.![endif]&gt;![if&gt; Etant donné le rejet par l'Office de la revendication pour cause de tardiveté, il n'appartient pas à la Commission de céans de se prononcer sur cette problématique devenue sans objet et qui aurait relevé de toute façon de la compétence du juge civil . Cette conclusion est ainsi irrecevable. 4. La présente plainte sera ainsi rejetée dans la mesure de sa recevabilité. * * * * * PAR CES MOTIFS, LA COMMISSION DE SURVEILLANCE SIÉGEANT EN SECTION : A la forme : Déclare partiellement recevable la plainte formée le 9 février 2010 par la Société X______ contre la décision de l'Office des poursuites du 29 janvier 2010 dans le cadre des séries nos 07 xxxx83 P et 08 xxxx06 Y. Au fond : 1. La rejette dans la mesure de sa recevabilité. 2. Déboute les parties de toutes autres conclusions. Siégeant : M. Philippe GUNTZ, président ;  M. Didier BROSSET et M. Denis MATHEY,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