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A/4803/2017 vom 18. Dezember 2017</w:t>
      </w:r>
    </w:p>
    <w:p>
      <w:r>
        <w:t>GE Cour de justice, 2017-12-18, FR</w:t>
      </w:r>
    </w:p>
    <w:p>
      <w:r>
        <w:rPr>
          <w:b/>
        </w:rPr>
        <w:t xml:space="preserve">Quelle: </w:t>
      </w:r>
      <w:r>
        <w:t>https://mcp.opencaselaw.ch/entscheid/ge_gerichte_A_4803_2017</w:t>
      </w:r>
    </w:p>
    <w:p>
      <w:r>
        <w:t>FR: GE_GERICHTE A/4803/2017 du 18 décembre 2017</w:t>
      </w:r>
    </w:p>
    <w:p>
      <w:r>
        <w:t>IT: GE_GERICHTE A/4803/2017 del 18 dicembre 2017</w:t>
      </w:r>
    </w:p>
    <w:p>
      <w:pPr>
        <w:pStyle w:val="Heading2"/>
      </w:pPr>
      <w:r>
        <w:t>Volltext</w:t>
      </w:r>
    </w:p>
    <w:p>
      <w:r>
        <w:t>Genève Cour de justice (Cour de droit public) Chambre administrative 18.12.2017 A/4803/2017</w:t>
      </w:r>
    </w:p>
    <w:p>
      <w:r>
        <w:t>A/4803/2017 ATA/1616/2017 du 18.12.2017 ( TAXIS ) , ACCORDE RÉPUBLIQUE ET CANTON DE GENÈVE POUVOIR JUDICIAIRE A/4803/2017 - TAXIS ATA/1616/2017 COUR DE JUSTICE Chambre administrative Décision du 18 décembre 2017 sur effet suspensif dans la cause Monsieur A______ représenté par Me Philippe Girod, avocat contre SERVICE DE POLICE DU COMMERCE ET DE LUTTE CONTRE LE TRAVAIL AU NOIR Vu le recours interjeté le 4 décembre 2017 par Monsieur A______ contre la décision, déclarée exécutoire nonobstant recours, du service de police du commerce et de lutte contre le travail au noir (ci-après : PCTN) du 2 novembre 2017, refusant d’accorder à M. A______ une autorisation d’usage accru du domaine public (ci-après : AUADP) en raison d’une condamnation pénale du 15 octobre 2014 à une peine pécuniaire de 100 jours-amende pour injure et menace ainsi que d’une condamnation pénale du 11 avril 2017 à une peine pécuniaire de 90 jours-amende et un amende du CHF 300.- pour injure, menaces et voies de fait ; attendu qu’en outre, la décision susmentionnée constate que l’autorisation d’exploiter en qualité d’indépendant un taxi de service privé (ci-après : l’autorisation d’exploiter), délivrée à l’intéressé le 5 février 2007, est devenue caduque de plein droit ; vu les conclusions du recours en annulation de la décision entreprise et en octroi de l’AUADP ainsi qu’en constatation de la validité de l’autorisation d’exploiter ; vu la demande de restitution de l’effet suspensif au recours en tant qu’il porte sur la caducité de l’autorisation d’exploiter en qualité d’indépendant un taxi de service public, qui lui a été délivrée le 5 février 2007, dès lors qu’il est empêché d’exercer son activité professionnelle, ce qui lui cause un préjudice irréparable ; vu la détermination de la PCTN sur effet suspensif, concluant au rejet de la demande, l’entrée en vigueur de la loi sur les taxis et les voitures de transport avec chauffeur du 13 octobre 2016 (LTVTC - H 1 31) ayant rendu caduque l’autorisation d’exploiter ; considérant en droit que : 1)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À teneur de l’art. 21 LPA, l’autorité peut d’office ou sur requête ordonner des mesures provisionnelles en exigeant au besoin des sûretés (al. 1) ; ces mesures sont ordonnées par le président s’il s’agit d’une autorité collégiale ou d’une juridiction administrative (al. 2). 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ATA/376/2017 du 3 avril 2017 ; ATA/960/2016 du 14 novembre 2016 ; ATA/613/2014 du 31 juillet 2014 consid. 5).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 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ATA/376/2017 précité ; ATA/257/2014 du 14 avril 2014 ; ATA/28/2014 du 15 janvier 2014 ; ATA/15/2013 du 8 janvier 2013 ; ATA/84/2009 du 9 avril 2009 ; Philippe WEISSENBERG/Astrid HIRZEL, Der suspensiveffekt und andere vorsorgliche Massnahme, in Irène HAENER/Bernhard WALDMANN, Brennpunkte im Verwaltungsprozess, Fribourg 2013, p. 166 ; Ulrich HÄFELIN/ Georg MÜLLER/Felix UHLMANN, Allgemeines Verwaltungsrecht, 2016 n. 1166 ; Pierre MOOR/Étienne POLTIER, Droit administratif, vol. 2, 3 ème éd., 2011, p. 814 n. 5.8.3.3).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 ATA/198/2016 du 3 mars 2016 consid. 4 ; ATA/613/2014 précité consid. 5 ; ATA/70/2014 du 5 février 2014 consid. 4b). 2) En l’espèce, à l’instar des cas que la PCTN a eu à traiter dans le cadre de la mise en œuvre de la loi sur la restauration, le débit de boissons, l’hébergement et le divertissement du 19 mars 2015 (LRDBHD - I 2 22), les décisions relatives aux situations transitoires entre la loi sur les taxis et limousines (transport professionnel de personnes au moyen de voitures automobiles) du 21 janvier 2005 (ci-après : LTaxis) et la LTVTC tendent essentiellement au maintien et au renouvellement, sous la nouvelle législation des autorisations et/ou permis d’exercer déjà existants sous l’ancienne loi ( ATA/960/2016 du 14 novembre 2016 consid. 3). ![endif]&gt;![if&gt; En effet, selon l’art. 46 al. 2 LTVTC – applicable à M. A______ selon le dossier – tout titulaire de la carte professionnelle de chauffeur de taxi exploitant un taxi privé en qualité d’indépendant ou travaillant comme employé ou fermier d’un titulaire d’une autorisation d’exploiter un taxi ou une entreprise de taxis de service public au sens de l’ancienne législation, délivrée avant le 1 er juin 2015 et exerçant effectivement sa profession, peut demander une AUADP dans les six mois suivant l’entrée en vigueur de la LTVTC (art. 46 al. 2 LTVTC). M. A______ a sollicité une AUADP dans le délai de six mois dès l’entrée en vigueur, le 1 er juillet 2017, de la LTVTC. Cette autorisation lui a été refusée. À cet égard, le recours ne peut pas être considéré d’emblée comme manifestement mal fondé, la question centrale du litige consistant à déterminer si les deux condamnations susmentionnées justifient un refus d’une AUADP nécessitant un examen approfondi en fait et en droit. 3) Le recours n’apparaît pas non plus d’entrée de cause dénué de chance de succès quant à l’objet pour lequel la restitution d’effet suspensif est sollicitée, à savoir le constat de caducité de plein droit l’autorisation d’exploiter. M. A______ a respecté le délai légal de dépôt de demande de l’AUADP et le refus de cette dernière n’est, en l’état, pas définitif. En outre, la disposition prévoyant le principe de la caducité des autorisations d’exploiter et ses exceptions, est de niveau réglementaire et non légal, de sorte qu’on ne peut exclure prima facie que sa portée doive être examinée au regard du principe de la légalité. ![endif]&gt;![if&gt; 4) Au vu de ce qui précède, l’intérêt privé du recourant à la continuation de son activité professionnelle prime l’intérêt public à l’exécution immédiate de la décision querellée. L’exécution immédiate de la décision querellée serait susceptible d’avoir des effets négatifs importants sur la situation personnelle et financière du recourant qui pourraient, le cas échéant, ne pas être entièrement réparés s’il obtenait finalement gain de cause au fond. ![endif]&gt;![if&gt; Dans ces circonstances, l’effet suspensif sera restitué au recours, en tant qu’il porte sur la caducité de l’autorisation d’exploiter en qualité d’indépendant un taxi de service privé, qui lui a été délivrée le 5 février 2007, de manière à maintenir la situation juridique prévalant avant le prononcé de la décision querellée. 5) Le sort des frais de la procédure sera réservé jusqu’à droit jugé au fond.![endif]&gt;![if&gt; vu l’art. 66 al. 3 de la loi sur la procédure administrative du 12 septembre 1985 ; vu l’art. 9 al. 1 du règlement de la chambre administrative du 26 septembre 2017 ; LA CHAMBRE ADMINISTRATIVE restitue partiellement l’effet suspensif au recours, en tant qu’il porte sur la caducité de l’autorisation d’exploiter en qualité d’indépendant un taxi de service privé, qui lui a été délivrée le 5 février 2007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Girod, avocat du recourant ainsi qu'au service de police du commerce et de lutte contre le travail au noir.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