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A/4773/2006 vom 5. Dezember 2006</w:t>
      </w:r>
    </w:p>
    <w:p>
      <w:r>
        <w:t>GE Cour de justice, 2006-12-05, FR</w:t>
      </w:r>
    </w:p>
    <w:p>
      <w:r>
        <w:rPr>
          <w:b/>
        </w:rPr>
        <w:t xml:space="preserve">Quelle: </w:t>
      </w:r>
      <w:r>
        <w:t>https://mcp.opencaselaw.ch/entscheid/ge_gerichte_A_4773_2006</w:t>
      </w:r>
    </w:p>
    <w:p>
      <w:r>
        <w:t>FR: GE_GERICHTE A/4773/2006 du 5 décembre 2006</w:t>
      </w:r>
    </w:p>
    <w:p>
      <w:r>
        <w:t>IT: GE_GERICHTE A/4773/2006 del 5 dicembre 2006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Selon le dossier en possession du Tribunal administratif, ce conducteur a un antécédent en matière de circulation routière, à savoir un avertissement prononcé le 21 mai 2003 en raison d’un excès de vitesse.</w:t>
      </w:r>
    </w:p>
    <w:p>
      <w:r>
        <w:rPr>
          <w:b/>
        </w:rPr>
        <w:t>E. 3</w:t>
      </w:r>
    </w:p>
    <w:p>
      <w:r>
        <w:t>Le 5 novembre 2006 à 01h00, M. A______ circulait au volant d’une voiture sur l’autoroute A1 en direction de Carouge/Genève. Peu avant l’échangeur de Perly-Certoux, M. A______ s’est assoupi suite à un état de fatigue excessif ce qui a provoqué une perte de maîtrise du véhicule avec embardée.</w:t>
      </w:r>
    </w:p>
    <w:p>
      <w:r>
        <w:rPr>
          <w:b/>
        </w:rPr>
        <w:t>E. 4</w:t>
      </w:r>
    </w:p>
    <w:p>
      <w:r>
        <w:t>Invité par le service des automobiles et de la navigation (ci-après : SAN) à présenter ses observations, M. A______ s’est déterminé les 22 et 27 novembre 2006. Il a reconnu les faits qui lui étaient reprochés tout en précisant que si cet assoupissement s’était manifesté dix kilomètres avant, il se serait arrêté mais à deux kilomètres du but, il était sûr d’y arriver.</w:t>
      </w:r>
    </w:p>
    <w:p>
      <w:r>
        <w:rPr>
          <w:b/>
        </w:rPr>
        <w:t>E. 5</w:t>
      </w:r>
    </w:p>
    <w:p>
      <w:r>
        <w:t>Par décision du 5 décembre 2006, le SAN a retiré le permis de conduire de M. A______ pendant une durée de trois mois, étant précisé qu’il s’agissait d’une infraction grave aux règles de la circulation routière au sens de l’article 16c alinéa 1 lettre a de la loi fédérale sur la circulation routière du 12 décembre 1958 (LCR - RS 741.01). Pour fixer la mesure, le SAN a tenu compte de l’antécédent susmentionné.</w:t>
      </w:r>
    </w:p>
    <w:p>
      <w:r>
        <w:rPr>
          <w:b/>
        </w:rPr>
        <w:t>E. 6</w:t>
      </w:r>
    </w:p>
    <w:p>
      <w:r>
        <w:t>M. A______ a saisi le Tribunal administratif d’un recours contre la décision précitée par acte du 20 décembre 2006. Il conclut à la réduction de la durée du retrait à un mois. C’était à tort que le SAN avait retenu la faute grave. L’autorité pénale lui avait infligé une amende de CHF 700.- en considérant qu’il s’agissait d’une contravention sanctionnée par l’article 90 chiffre 1 LCR et non pas 90 chiffre 2 LCR. L’autorité administrative aurait donc dû faire de même.</w:t>
      </w:r>
    </w:p>
    <w:p>
      <w:r>
        <w:rPr>
          <w:b/>
        </w:rPr>
        <w:t>E. 7</w:t>
      </w:r>
    </w:p>
    <w:p>
      <w:r>
        <w:t>Mal fondé, le recours sera rejeté. Un émolument de CHF 400.- sera mis à la charge du recourant (art. 87 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