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A/476/2024 vom 29. Oktober 2024</w:t>
      </w:r>
    </w:p>
    <w:p>
      <w:r>
        <w:t>GE Cour de justice, 2024-10-29, FR</w:t>
      </w:r>
    </w:p>
    <w:p>
      <w:r>
        <w:rPr>
          <w:b/>
        </w:rPr>
        <w:t xml:space="preserve">Quelle: </w:t>
      </w:r>
      <w:r>
        <w:t>https://mcp.opencaselaw.ch/entscheid/ge_gerichte_A_476_2024</w:t>
      </w:r>
    </w:p>
    <w:p>
      <w:r>
        <w:t>FR: GE_GERICHTE A/476/2024 du 29 octobre 2024</w:t>
      </w:r>
    </w:p>
    <w:p>
      <w:r>
        <w:t>IT: GE_GERICHTE A/476/2024 del 29 ottobre 2024</w:t>
      </w:r>
    </w:p>
    <w:p>
      <w:pPr>
        <w:pStyle w:val="Heading2"/>
      </w:pPr>
      <w:r>
        <w:t>Regeste</w:t>
      </w:r>
    </w:p>
    <w:p>
      <w:r>
        <w:t>PROTECTION DES MONUMENTS;MESURE DE PROTECTION;INVENTAIRE;GARANTIE DE LA PROPRIÉTÉ;ATTEINTE À UN DROIT CONSTITUTIONNEL;INTÉRÊT PUBLIC;PROPORTIONNALITÉ | Rejet d’un recours déposé contre une mesure d’inscription à l’inventaire d’une villa Heimatstil, d’un garage et de la parcelle sur laquelle sont construits ces bâtiments. Examen du bienfondé de la mesure compte tenu des préavis de la CMNS et de la commune et de la pesée des intérêts faite par l’autorité intimée. Examen de la proportionnalité de la mesure. | Cst.5.al2; Cst.29.al2; Cst.26.al1; LPMNS.4.leta; LPMNS.7.al8; LPMNS.22.al1; RPMNS.3; RPMNS.4; RPMNS.15.al2</w:t>
      </w:r>
    </w:p>
    <w:p>
      <w:pPr>
        <w:pStyle w:val="Heading2"/>
      </w:pPr>
      <w:r>
        <w:t>Erwägungen</w:t>
      </w:r>
    </w:p>
    <w:p>
      <w:r>
        <w:rPr>
          <w:b/>
        </w:rPr>
        <w:t>E. 2</w:t>
      </w:r>
    </w:p>
    <w:p>
      <w:r>
        <w:t>La recourante demande qu’il soit procédé à un transport sur place et conclut à l’audition de plusieurs témoins.</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Le droit d’être entendu n’implique pas non plus une audition personnelle de l’intéressé, celui-ci devant simplement disposer d’une occasion de se déterminer sur les éléments propres à influer sur l’issue de la cause (art. 41 LPA ; ATF 148 II 73 consid. 7.3.1 ; 145 I 167 consid. 4.1 ; arrêt du Tribunal fédéral 1C_372/2021 du 26 janvier 2023 consid. 2.3 ; ATA/783/2021 du 27 juillet 2021 consid. 6a et les références).</w:t>
      </w:r>
    </w:p>
    <w:p>
      <w:r>
        <w:rPr>
          <w:b/>
        </w:rPr>
        <w:t>E. 2.3</w:t>
      </w:r>
    </w:p>
    <w:p>
      <w:r>
        <w:t>En l’espèce, le dossier contient de nombreux documents, photographies et plans dont certains produits par la recourante. Les photographies portent tant sur l’intérieur que l’extérieur des bâtiments et sur le reste de la parcelle. Le dossier contient également les rapports et préavis produits lors de l’instruction de la décision par l’autorité intimée dont la fiche du recensement architectural du canton de Genève. Il s’avère ainsi que les pièces nécessaires à l’examen de la conformité au droit de la mesure de protection du patrimoine contestée figurent au dossier, si bien qu’il ne se justifie pas de procéder à un transport sur place. Quant aux témoignages requis, celui des personnes ayant rédigé les rapports figurant au dossier s’avère inutile, puisqu’ils permettraient au mieux de confirmer leurs avis, les éléments pris en compte par l’autorité intimée pour rendre sa décision étant ceux figurant dans les rapports. La recourante n’indique pas pour quel motif pertinent l’audition de ces témoins serait déterminante pour l’issue du litige. L’audition de ses propres architectes ne s’avère pas non plus indispensable, dans la mesure où la recourante a eu la possibilité de fournir tous les documents nécessaires à étayer ses allégations et qu’elle ne dispose pas d’un droit à être entendue oralement. En conclusion, la chambre de céans considère être en possession d’un dossier complet, en état d’être jugé et il ne sera pas donné suite aux requêtes de la recourante.</w:t>
      </w:r>
    </w:p>
    <w:p>
      <w:r>
        <w:rPr>
          <w:b/>
        </w:rPr>
        <w:t>E. 3</w:t>
      </w:r>
    </w:p>
    <w:p>
      <w:r>
        <w:t>La recourante fait valoir que la procédure de mise à l’inventaire est marquée par plusieurs erreurs. 3.1.1 Le préavis de la CMNS n’aurait pas été établi conformément à la loi, la personne l’ayant signé n’étant ni présidente ni vice-présidente. La CMNS a pour attribution, notamment, de formuler ou examiner les propositions d’inscription ou de radiation d’immeubles à l’inventaire, selon l’art. 7 loi sur la protection des monuments, de la nature et des sites du 4 juin 1976 (LPMNS - L 4 05). Elle peut déléguer certaines de ses attributions à des sous-commissions dont elle désigne la présidente ou le président (art. 3 règlement d’application de la loi sur la protection des monuments, de la nature et des sites du 29 mars 2023 - RPMNS - L 4 05.01). Les sous-commissions se réunissent chaque fois que le nombre ou l’importance des dossiers le justifie (art. 4 al. 2 RPMNS). Les fonctionnaires désignés par les départements chargés de l’application de la loi assistent aux séances avec voix consultative (art. 4 al. 3 RPMNS). Le secrétariat de la commission est assuré par le département (art. 4 al. 4 RPMNS). 3.1.2 En l’espèce, le préavis de la CMNS précise qu’il s’agit de la sous-commission CMNS 1 et le préavis est signé par la secrétaire, fonctionnaire du département. Il n’est dès lors pas possible de considérer, comme le fait la recourante, que le préavis ne correspond pas aux exigences légales. Elle ne se réfère d’ailleurs à aucune base légale ou principe qui aurait été violé par la procédure de préavis suivie.</w:t>
      </w:r>
    </w:p>
    <w:p>
      <w:r>
        <w:rPr>
          <w:b/>
        </w:rPr>
        <w:t>E. 3.2</w:t>
      </w:r>
    </w:p>
    <w:p>
      <w:r>
        <w:t>La recourante estime que le rapport de l’IMAH contient de multiples erreurs qui attesteraient de sa faible crédibilité, alors même qu’il avait servi de fondement unique aux préavis de la commune et de la CMNS.</w:t>
      </w:r>
    </w:p>
    <w:p>
      <w:r>
        <w:rPr>
          <w:b/>
        </w:rPr>
        <w:t>E. 3.2.1</w:t>
      </w:r>
    </w:p>
    <w:p>
      <w:r>
        <w:t>Les erreurs dont la recourante fait grand cas concerneraient la narration faite de l’histoire de la parcelle et spécialement celle de la famille anciennement propriétaire de la villa et plus spécifiquement l’importance donnée par cette famille à la parcelle litigieuse.</w:t>
      </w:r>
    </w:p>
    <w:p>
      <w:r>
        <w:rPr>
          <w:b/>
        </w:rPr>
        <w:t>E. 3.2.2</w:t>
      </w:r>
    </w:p>
    <w:p>
      <w:r>
        <w:t>Force est toutefois de constater qu’en l’espèce l’attachement plus ou moins fort entre des membres d’une famille propriétaire et la parcelle et les bâtiments qu’elle contient, n’est pas pertinent pour l’examen de la valeur patrimoniale de la parcelle. En effet, ces liens ne se sont pas exprimés dans des modifications apportées aux bâtiments, ce qui n’est d’ailleurs pas allégué, la recourante tenant à clarifier le fait que cette propriété n’avait aucune importance aux yeux de cette famille vivant pour l’essentiel à l’étranger. Ainsi, même si des erreurs factuelles concernant ces éléments annexes à l’histoire de la parcelle et des bâtiments qu’elle contient devaient être constatées, celles-ci n’auraient aucun impact sur la décision litigieuse, laquelle ne s’y réfère d’ailleurs pas.</w:t>
      </w:r>
    </w:p>
    <w:p>
      <w:r>
        <w:rPr>
          <w:b/>
        </w:rPr>
        <w:t>E. 3.3</w:t>
      </w:r>
    </w:p>
    <w:p>
      <w:r>
        <w:t>Le rédacteur de ce rapport aurait en outre omis des faits importants concernant l’état de la propriété et cité des sources sans pertinence.</w:t>
      </w:r>
    </w:p>
    <w:p>
      <w:r>
        <w:rPr>
          <w:b/>
        </w:rPr>
        <w:t>E. 3.3.1</w:t>
      </w:r>
    </w:p>
    <w:p>
      <w:r>
        <w:t>Le rapport de visite contenant près de 60 photographies, tant de l’extérieur que de l’intérieur de la villa, du garage et de la parcelle, il ne peut être retenu, comme le fait la recourante, que l’état d’entretien, qualifié d’état déplorable dans le rapport, et les dégâts subis par les différentes parties des bâtiments n’auraient pas été pris en compte. Le rapport retient que malgré les dégâts existants en lien avec le manque d’entretien, dont notamment les appentis du porche en cours d’affaissement, un trou dans un plancher, les bâtiments ont subi peu de dommages importants. Il n’est dès lors pas possible de suivre la recourante dans son raisonnement, visant à discréditer le rapport d’IMAH pour ce motif.</w:t>
      </w:r>
    </w:p>
    <w:p>
      <w:r>
        <w:rPr>
          <w:b/>
        </w:rPr>
        <w:t>E. 3.3.2</w:t>
      </w:r>
    </w:p>
    <w:p>
      <w:r>
        <w:t>Finalement sur ce point, il n’est pas besoin d’examiner plus avant le reproche fait par la recourante aux sources mentionnées dans le rapport ou au ton utilisé par le rédacteur. En effet, ces éléments ne sont pas non plus pertinents pour examiner la conformité au droit de la décision prise par l’autorité intimée. Le grief sera donc écarté.</w:t>
      </w:r>
    </w:p>
    <w:p>
      <w:r>
        <w:rPr>
          <w:b/>
        </w:rPr>
        <w:t>E. 4</w:t>
      </w:r>
    </w:p>
    <w:p>
      <w:r>
        <w:t>La recourante conteste l’intérêt digne de protection de l’immeuble sous plusieurs angles.</w:t>
      </w:r>
    </w:p>
    <w:p>
      <w:r>
        <w:rPr>
          <w:b/>
        </w:rPr>
        <w:t>E. 4.1</w:t>
      </w:r>
    </w:p>
    <w:p>
      <w:r>
        <w:t>Le département protègerait un style architectural plutôt qu’un immeuble digne de protection.</w:t>
      </w:r>
    </w:p>
    <w:p>
      <w:r>
        <w:rPr>
          <w:b/>
        </w:rPr>
        <w:t>E. 4.1.1</w:t>
      </w:r>
    </w:p>
    <w:p>
      <w:r>
        <w:t>La LPMNS prévoit la protection de monuments de l'architecture présentant un intérêt historique, scientifique ou éducatif (art. 4 let. a LPMNS) et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w:t>
      </w:r>
    </w:p>
    <w:p>
      <w:r>
        <w:rPr>
          <w:b/>
        </w:rPr>
        <w:t>E. 4.1.2</w:t>
      </w:r>
    </w:p>
    <w:p>
      <w:r>
        <w:t>La villa et le garage possèdent, aux dires des spécialistes, toutes les caractéristiques du Heimatstil tel qu’il a été interprété dans le canton de Genève immédiatement après l’exposition nationale suisse de 1896. La substance de la construction est dans un état de conservation remarquable, bien que l’état d’entretien soit déplorable. Les éléments retenus sont notamment l’asymétrie équilibrée, la polychromie des matériaux, le jeu très vif des contrastes volumétriques, les détails de façade évoquant l’histoire du patrimoine suisse, les corps bas formant espaces intermédiaires. La conservation du jardin dont les arbres étaient arrivés à maturité, même s’il était totalement négligé ainsi que celle des abords (portails et muret) et du garage réalisé lors de l’agrandissement se justifiaient également. Aux qualités architecturales intrinsèques s’ajoutait la réputation de Henri GOSS ayant réalisé l’agrandissement et le garage. La décision retient également que malgré leur mauvais état d’entretien, les bâtiments n’avaient subi que peu de modifications depuis leur construction et présentaient encore l’ensemble de leurs éléments d’origine.</w:t>
      </w:r>
    </w:p>
    <w:p>
      <w:r>
        <w:rPr>
          <w:b/>
        </w:rPr>
        <w:t>E. 4.1.3</w:t>
      </w:r>
    </w:p>
    <w:p>
      <w:r>
        <w:t>Il appert ainsi que ce sont bien les caractéristiques intrinsèques de la villa, du garage et de la parcelle qui fondent la mesure contestée, contrairement aux allégations de la recourante.</w:t>
      </w:r>
    </w:p>
    <w:p>
      <w:r>
        <w:rPr>
          <w:b/>
        </w:rPr>
        <w:t>E. 4.2</w:t>
      </w:r>
    </w:p>
    <w:p>
      <w:r>
        <w:t>La recourante souligne que l’architecte de la villa étant inconnu, la mesure n’apparaît pas justifiée.</w:t>
      </w:r>
    </w:p>
    <w:p>
      <w:r>
        <w:rPr>
          <w:b/>
        </w:rPr>
        <w:t>E. 4.2.1</w:t>
      </w:r>
    </w:p>
    <w:p>
      <w:r>
        <w:t>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ATA/353/2021 du 23 mars 2021 consid. 8 ; ATA/561/2020 du 9 juin 2020 consid. 5b). Tout objet construit ne méritant pas une protection, il y a lieu de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ATA/1024/2019 du 18 juin 2019 consid. 3d ; ATA/428/2010 du 22 juin 2010 consid. 7c).</w:t>
      </w:r>
    </w:p>
    <w:p>
      <w:r>
        <w:rPr>
          <w:b/>
        </w:rPr>
        <w:t>E. 4.2.2</w:t>
      </w:r>
    </w:p>
    <w:p>
      <w:r>
        <w:t>Contrairement à ce que sous-entend la recourante, l’identité de l’architecte ayant créé la construction est un élément qui n’a pas été négligé dans le rapport de l’IMAH. La pratique historique de signature de la requête d’autorisation de construire par le constructeur uniquement est rapportée et commentée avec la précision qu’en l’espèce, les dessins du dossier d’autorisation ne ressemblaient pas aux documents souvent transmis par les maîtres d’œuvres à l’administration, s’agissant de copies héliographiées d’un projet architectural en bonne et due forme. Selon l’historien de l’art ayant rédigé le rapport IMAH, il ne fait aucun doute que la paternité architecturale de la villa revenait à un excellent architecte. Quant à Henri GOSS qui a signé l’agrandissement et le garage deux ans après la construction, il est connu et une seule maison familiale de sa main a été conservée à ce jour dans le canton de Fribourg bien qu’il ait également dessiné de nombreux autres bâtiments, tels que banque, hôtels ou bâtiments industriels.</w:t>
      </w:r>
    </w:p>
    <w:p>
      <w:r>
        <w:rPr>
          <w:b/>
        </w:rPr>
        <w:t>E. 4.2.3</w:t>
      </w:r>
    </w:p>
    <w:p>
      <w:r>
        <w:t>Le fait que les recherches effectuées par les spécialistes de l’IMAH n’ont pas permis d’établir quel architecte avait dessiné les plans de la villa est un élément qui n’a pas été négligé, contrairement à ce que sous-entend la recourante. Cependant, cette situation ne suffit pas à diminuer l’intérêt des bâtiments sur le plan de la protection patrimoniale. En outre, la recourante n’allègue aucun motif objectif de nature à remettre en question les considérations des spécialistes en matière de protection du patrimoine relatives à l’intérêt des bâtiments.</w:t>
      </w:r>
    </w:p>
    <w:p>
      <w:r>
        <w:rPr>
          <w:b/>
        </w:rPr>
        <w:t>E. 4.3</w:t>
      </w:r>
    </w:p>
    <w:p>
      <w:r>
        <w:t>La recourante souligne encore que les bâtiments n’étant pas visibles pour le public, la mesure de protection ne serait pas justifiée.</w:t>
      </w:r>
    </w:p>
    <w:p>
      <w:r>
        <w:rPr>
          <w:b/>
        </w:rPr>
        <w:t>E. 4.3.1</w:t>
      </w:r>
    </w:p>
    <w:p>
      <w:r>
        <w:t>La LPMNS prévoit qu’il est dressé un inventaire de tous les immeubles dignes d’être protégés. La définition de monument, au sens de l’art. 4 al. a LPMNS ne contient pas la notion d’édifice public ou accessible au public. Cela dit, l’inventaire peut être consulté par le public selon les modalités fixées par voie réglementaire (art. 7 al. 8 LPMNS). L’arrêté rendu en matière d’inscription à l’inventaire est publié dans la FAO (art. 15 al. 1 RPMNS). Le dossier peut, sur requête, être consulté selon les modalités fixées par loi sur l’information du public, l’accès aux documents et la protection des données personnelles du 5 octobre 2001 (art. 15 al. 2 RPMNS).</w:t>
      </w:r>
    </w:p>
    <w:p>
      <w:r>
        <w:rPr>
          <w:b/>
        </w:rPr>
        <w:t>E. 4.3.2</w:t>
      </w:r>
    </w:p>
    <w:p>
      <w:r>
        <w:t>Le fait que la parcelle soit en mains privées, que les bâtiments objets de la mesure ne soient pas visibles depuis la voie publique est donc sans pertinence s’agissant du but et des modalités de la protection du patrimoine instaurées par la LPMNS. L’intérêt public auquel répond cette mesure n’est donc pas non plus fonction de ces circonstances.</w:t>
      </w:r>
    </w:p>
    <w:p>
      <w:r>
        <w:rPr>
          <w:b/>
        </w:rPr>
        <w:t>E. 4.4</w:t>
      </w:r>
    </w:p>
    <w:p>
      <w:r>
        <w:t>La recourante estime que les dégradations subies par les bâtiments leur auraient fait perdre tout intérêt patrimonial.</w:t>
      </w:r>
    </w:p>
    <w:p>
      <w:r>
        <w:rPr>
          <w:b/>
        </w:rPr>
        <w:t>E. 4.4.1</w:t>
      </w:r>
    </w:p>
    <w:p>
      <w:r>
        <w:t>La jurisprudence ne retient pas l’état, même très délabré, d’un immeuble comme motif propre à mettre en échec une mesure de protection fondée sur la LPMNS, dès lors que la substance patrimoniale est conservée ( ATA/428/2010 du 22 juin 2010 consid. 7c).</w:t>
      </w:r>
    </w:p>
    <w:p>
      <w:r>
        <w:rPr>
          <w:b/>
        </w:rPr>
        <w:t>E. 4.4.2</w:t>
      </w:r>
    </w:p>
    <w:p>
      <w:r>
        <w:t>Dans les rapports de l’IMAH et de la CMNS, l’état détérioré des bâtiments n’est pas omis et il est acquis que ce mauvais état d’entretien appelle à terme des travaux de restauration et d’assainissement. Cependant, il est relevé également que les éléments qui constituent la substance d’origine des bâtiments subsistent. Le grief tombe donc à faux.</w:t>
      </w:r>
    </w:p>
    <w:p>
      <w:r>
        <w:rPr>
          <w:b/>
        </w:rPr>
        <w:t>E. 5</w:t>
      </w:r>
    </w:p>
    <w:p>
      <w:r>
        <w:t>La recourante reproche au département de n’avoir pas pris en compte dans sa pesée des intérêts l’intérêt public à la construction de nouveaux logements et le fait que les bâtiments concernés n’étaient ni uniques ni particulièrement rares.</w:t>
      </w:r>
    </w:p>
    <w:p>
      <w:r>
        <w:rPr>
          <w:b/>
        </w:rPr>
        <w:t>E. 5.1</w:t>
      </w:r>
    </w:p>
    <w:p>
      <w:r>
        <w:t>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 e siècle et la nécessité de sauvegarder un patrimoine plus récent, voire contemporain ( ATA/555/2022 du 24 mai 2022 consid. 5b et les références citées). Chaque fois que l'autorité administrative suit les préavis des instances consultatives, l'autorité de recours observe une certaine retenue, fonction de son aptitude à trancher le litige (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ATA/1296/2022 précité ; ATA/1261/2022 du 13 décembre 2022 consid. 4d et les références citées). La chambre administrative est en revanche libre d'exercer son propre pouvoir d'examen lorsqu'elle procède elle-même à des mesures d'instruction, à l'instar d'un transport sur place ( ATA/135/2022 du 1 er mars 2022 consid. 9g). Si la consultation de la CMNS est imposée par la loi, le préavis de cette commission a un poids certain dans l'appréciation qu'est amenée à effectuer l'autorité de recours ( ATA/1024/2019 précité ; ATA/126/2013 précité). En outre, la CMNS se compose pour une large part de spécialistes, dont notamment des membres d'associations d'importance cantonale, poursuivant par pur idéal des buts de protection du patrimoine (art. 46 al. 2 LPMNS). À ce titre, son préavis est important ( ATA/1214/2015 précité).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ATA/451/2017 du 25 avril 2017 ; ATA/814/2014 du 28 octobre 2014 et les références citées ; ATA/453/2011 du 26 juillet 2011).</w:t>
      </w:r>
    </w:p>
    <w:p>
      <w:r>
        <w:rPr>
          <w:b/>
        </w:rPr>
        <w:t>E. 5.2</w:t>
      </w:r>
    </w:p>
    <w:p>
      <w:r>
        <w:t>La chambre administrative a déjà tranché le fait que faire primer l'intérêt public à la construction de nouveaux logements sur celui de la protection d’un bâtiment, même en cas de préavis de la CMNS favorable au classement de l’immeuble, ne relevait pas d’un abus du pouvoir d'appréciation du Conseil d’État en cette période de crise du logement ( ATA/423/2023 du 25 avril 2023 consid. 5.4 ; ATA/932/2020 du 22 septembre 2020 consid. 7).</w:t>
      </w:r>
    </w:p>
    <w:p>
      <w:r>
        <w:rPr>
          <w:b/>
        </w:rPr>
        <w:t>E. 5.3</w:t>
      </w:r>
    </w:p>
    <w:p>
      <w:r>
        <w:t>En l’espèce, le recensement architectural validé le 21 juillet 1993 par la CMNS avait attribué la valeur « monuments et bâtiments intéressants » à la villa et au garage. Dans le recensement validé par la commission scientifique de suivi le 6 décembre 2018, mis à jour le 7 juin 2023, la valeur « Exceptionnel » a été attribuée aux bâtiments précités. Le service spécialisé, la CMNS et la commune ont, quant à elles, préavisé favorablement la mesure de protection. Le Conseil d’État a suivi ces préavis, estimant que seule cette mesure de protection était apte à assurer la pérennité des objets à protéger. La recourante oppose à cette conclusion le fait que de nombreuses constructions Heimatstil existeraient dans le canton. Toutefois, elle ne démontre pas que des bâtiments comparables, du même style et possédant les mêmes caractéristiques existeraient ou n’auraient pas bénéficié des mêmes mesures. En outre, la rareté ou le caractère unique n’est pas le seul critère dont dépend une mesure d’inscription à l’inventaire. Il s’agit plutôt d’un critère complémentaire, les caractéristiques du bâtiment lui-même restant déterminantes pour l’examen de la validité de la mesure ( ATA/1214/2015 du 10 novembre 2015 consid. 5). De plus, ces caractéristiques s’acquièrent souvent par l’écoulement du temps.</w:t>
      </w:r>
    </w:p>
    <w:p>
      <w:r>
        <w:rPr>
          <w:b/>
        </w:rPr>
        <w:t>E. 5.4</w:t>
      </w:r>
    </w:p>
    <w:p>
      <w:r>
        <w:t>S’agissant de l’intérêt public à la construction de logement que la recourante oppose à la mesure de protection, il faut prendre en compte le fait que la parcelle est sise en cinquième zone de construction, ce qui limite le nombre de logements qui auraient pu être construits après la démolition des bâtiments et que les bâtiments eux-mêmes constituent déjà des logements. Quant au projet de construction de logements invoqué par la recourante, force est de constater qu’il n’est pas concret et que, de plus, la mesure litigieuse n’est pas incompatible avec un projet de construction sur la surface non bâtie de la parcelle. Le grief sera donc écarté.</w:t>
      </w:r>
    </w:p>
    <w:p>
      <w:r>
        <w:rPr>
          <w:b/>
        </w:rPr>
        <w:t>E. 6</w:t>
      </w:r>
    </w:p>
    <w:p>
      <w:r>
        <w:t>Reste à examiner la proportionnalité de la mesure. L'assujettissement d'un immeuble à des mesures de conservation ou de protection du patrimoine naturel ou bâti constitue une restriction du droit de propriété garanti par l'art. 26 al. 1 Cst. 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ATA/1214/2015 précité consid. 2a).</w:t>
      </w:r>
    </w:p>
    <w:p>
      <w:r>
        <w:rPr>
          <w:b/>
        </w:rPr>
        <w:t>E. 6.1</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w:t>
      </w:r>
    </w:p>
    <w:p>
      <w:r>
        <w:rPr>
          <w:b/>
        </w:rPr>
        <w:t>E. 6.2</w:t>
      </w:r>
    </w:p>
    <w:p>
      <w:r>
        <w:t>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Plus un bâtiment est digne d'être conservé, moins les exigences de la rentabilité doivent être prises en compte (ATF 118 Ia 384 consid. 5 ; ATA/1024/2019 précité consid. 2).</w:t>
      </w:r>
    </w:p>
    <w:p>
      <w:r>
        <w:rPr>
          <w:b/>
        </w:rPr>
        <w:t>E. 6.3</w:t>
      </w:r>
    </w:p>
    <w:p>
      <w:r>
        <w:t>Les effets d'une mise à l'inventaire sur un immeuble sont son maintien ainsi que la préservation de ses éléments dignes d'intérêt (art. 9 al. 1 LPMNS). Le fait de ne pouvoir disposer librement de son bien mais que pour tout projet ou intervention, la CMNS ou le SMS doive être consulté par la propriétaire, ne représente pas d'emblée une entrave insupportable à la garantie de la propriété. Aucune interdiction totale de construire n'a été prononcée. Les contraintes de la mesure sont moins lourdes que celles de tout propriétaire d'un bien-fonds situé en zone protégée ou soumis à une mesure de classement ( ATA/783/2012 du 20 novembre 2012 consid. 14 b). Toutefois, la mise à l'inventaire confère à l'objet qu'elle vise une protection plus importante que les seules dispositions en matière de police des constructions, comme le fait la mesure de classement ( ATA/783/2012 précité consid. 13).</w:t>
      </w:r>
    </w:p>
    <w:p>
      <w:r>
        <w:rPr>
          <w:b/>
        </w:rPr>
        <w:t>E. 6.4</w:t>
      </w:r>
    </w:p>
    <w:p>
      <w:r>
        <w:t>En l’espèce, les affirmations toutes générales de la recourante sur la complexité de la transformation du bâtiment et les travaux coûteux qu’entraînerait la mesure contestée, ne sont pas démontrées. De même il n’indique pas la perte financière qui serait liée à l’inscription de l’immeuble et à la perte du projet de construction. Notamment, la mesure impose de devoir consulter la CMNS ou le SMS lors du dépôt d’une demande en autorisation de construire, ce que la chambre de céans a déjà jugé comme n’entraînant pas d’effets insupportables pour un propriétaire ( ATA/352/2021 du 23 mars 2021 consid. 12). S’agissant de l’aspect financier, la recourante ne peut de bonne foi invoquer l’état de dégradation de ses bâtiments, entraînant une absence de rendement pour contrer la mesure de protection. En effet, ayant négligé l’entretien de son bien, elle ne peut en tirer argument en sa faveur. S’agissant des coûts de rénovation ils sont estimés à environ CHF 4'880’715.- pour la villa, soit CHF 6'237.-/m 2 , par la recourante qui n’a pas produit de projet précis, différentes possibilités, notamment techniques, étant ouvertes à ce stade. La recourante ne démontre pas que ces coûts entraîneraient des conséquences insupportables pour elle. En outre, comme le souligne l’autorité intimée, la recourante n’a, en l’absence de preuve contraire, consenti aucun investissement ou frais d’entretien durant ces dernières décennies. Elle ne peut en outre justifier la démolition des bâtiments par cette absence de rentabilité. À cela s’ajoute que le SMS, après avoir procédé à une évaluation des coûts sur la base de celle de la recourante et comparant celle-ci à des bâtiments récemment rénovés, de niveaux de protection identiques et avec des travaux de rénovation complets et généreux dans le canton, réalisés en 2022, a estimé que le projet de la recourante était raisonnable dans cette catégorie. Il appert ainsi que les coûts sont similaires, notamment au m 2 (CHF 7'828.- pour la MS-i VDS 13 et CHF 7'023.- pour la MS-I CBL 4) et ne peuvent donc être considérés comme insupportables pour la propriétaire. En application de l’art. 22 al. 1 LPMNS, l’État peut participer financièrement aux frais de conservation, d’entretien et de restauration des immeubles inscrits à l’inventaire. Selon l’estimation faite par le SMS, cette subvention se monterait au maximum à 10% des travaux. C’est toutefois uniquement en fonction d’un projet particulier que le montant pourra être déterminé. En conséquence, il ne peut être retenu que les restrictions qu’implique la mesure entraînent des atteintes insupportables au droit de propriété de la recourante. Il découle de ce qui précède qu’étant en tous points infondé, le recours sera rejeté.</w:t>
      </w:r>
    </w:p>
    <w:p>
      <w:r>
        <w:rPr>
          <w:b/>
        </w:rPr>
        <w:t>E. 7</w:t>
      </w:r>
    </w:p>
    <w:p>
      <w:r>
        <w:t>Vu l’issue du litige, un émolument de CHF 1'000.-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