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A/474/2014 vom 17. Juni 2014</w:t>
      </w:r>
    </w:p>
    <w:p>
      <w:r>
        <w:t>GE Cour de justice, 2014-06-17, FR</w:t>
      </w:r>
    </w:p>
    <w:p>
      <w:r>
        <w:rPr>
          <w:b/>
        </w:rPr>
        <w:t xml:space="preserve">Quelle: </w:t>
      </w:r>
      <w:r>
        <w:t>https://mcp.opencaselaw.ch/entscheid/ge_gerichte_A_474_2014</w:t>
      </w:r>
    </w:p>
    <w:p>
      <w:r>
        <w:t>FR: GE_GERICHTE A/474/2014 du 17 juin 2014</w:t>
      </w:r>
    </w:p>
    <w:p>
      <w:r>
        <w:t>IT: GE_GERICHTE A/474/2014 del 17 giugno 2014</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w:t>
      </w:r>
    </w:p>
    <w:p>
      <w:r>
        <w:rPr>
          <w:b/>
        </w:rPr>
        <w:t>E. 2</w:t>
      </w:r>
    </w:p>
    <w:p>
      <w:r>
        <w:t>a. Aux termes de l'art. 60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Karl SPUHLER/Annette DOLGE/Dominik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 ATA/183/2013 du 19 mars 2013 et la jurisprudence citée). Le recours est donc recevable à tous points de vue.</w:t>
      </w:r>
    </w:p>
    <w:p>
      <w:r>
        <w:rPr>
          <w:b/>
        </w:rPr>
        <w:t>E. 3</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MOOR/Etienne POLTIER, Droit administratif, vol. 2, 3 ème éd., 2011, p. 142 à 145 et la jurisprudence citée).</w:t>
      </w:r>
    </w:p>
    <w:p>
      <w:r>
        <w:rPr>
          <w:b/>
        </w:rPr>
        <w:t>E. 4</w:t>
      </w:r>
    </w:p>
    <w:p>
      <w:r>
        <w:t>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Un détenu doit respecter les dispositions du RRIP, les instructions du directeur de l’office pénitentiaire et les ordres du directeur et des fonctionnaires de la prison (art. 42 RRIP). Il doit en toutes circonstances adopter une attitude correcte à l’égard des autres personnes incarcérées (art. 44 RRIP) et n’a d’aucune façon le droit de troubler l’ordre et la tranquillité de la prison (art. 45 let. h RRIP).</w:t>
      </w:r>
    </w:p>
    <w:p>
      <w:r>
        <w:rPr>
          <w:b/>
        </w:rPr>
        <w:t>E. 5</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cinq jours au plus (art. 47 al. 3 RRIP), étant précisé que ces sanctions peuvent se cumuler (art. 47 al. 4 RRIP).</w:t>
      </w:r>
    </w:p>
    <w:p>
      <w:r>
        <w:rPr>
          <w:b/>
        </w:rPr>
        <w:t>E. 6</w:t>
      </w:r>
    </w:p>
    <w:p>
      <w:r>
        <w:t>Le recourant soutient avoir été frappé par les protagonistes de l’incident, sans avoir lui-même porté de coups. Cette affirmation est toutefois contraire aux constatations faites par les gardiens, ténorisées dans le rapport d’incident du 3 février 2014 : la recourant a participé a une bagarre impliquant deux autres détenus, après avoir reçu une claque sur la nuque. Sous l’angle disciplinaire en régime carcéral, le comportement constaté contrevient aux art. 44 et 45 let. h RRIP, sans que l’autorité ait besoin de déterminer plus précisément le rôle de chacun lorsque des détenus se mettent à échanger des coups lors d’une bagarre. La direction de la prison était dès lors fondée, en application de l’art. 47 RRIP, à le sanctionner pour violation des dispositions précitées, même s'il n'était pas à l’origine de l’altercation. 7) Le principe d’une sanction étant acquis, reste à examiner si celle-ci respecte le principe de la proportionnalité, garanti par l’art. 5 al. 2 de la Constitution fédérale de la Confédération suisse du 18 avril 1999 (Cst. - RS 101), exigence encore rappelée expressément à l’art. 47 al. 1 RRIP.![endif]&gt;![if&gt; Une bagarre entre détenus est source de violences inadmissibles et introduit le trouble et le désordre dans un milieu qui requiert d'autant le calme et la sécurité. Il s’agit donc d’une infraction grave à la discipline carcérale, qui doit être réprimée sévèrement. Compte tenu de ces paramètres, une mise en cellule forte de trois jours, même si le maximum de la sanction est de cinq jours, est proportionnée. 8) Le recours sera rejeté. Vu la nature du litige, aucun émolument ne sera perçu (art. 12 al. 1 du règlement sur les frais, émoluments et indemnités en procédure administrative du 30 juillet 1986 - RFPA - E 5 10.03).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