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A/4721/2019 vom 25. Februar 2021</w:t>
      </w:r>
    </w:p>
    <w:p>
      <w:r>
        <w:t>GE Cour de justice, 2021-02-25, FR</w:t>
      </w:r>
    </w:p>
    <w:p>
      <w:r>
        <w:rPr>
          <w:b/>
        </w:rPr>
        <w:t xml:space="preserve">Quelle: </w:t>
      </w:r>
      <w:r>
        <w:t>https://mcp.opencaselaw.ch/entscheid/ge_gerichte_A_4721_2019</w:t>
      </w:r>
    </w:p>
    <w:p>
      <w:r>
        <w:t>FR: GE_GERICHTE A/4721/2019 du 25 février 2021</w:t>
      </w:r>
    </w:p>
    <w:p>
      <w:r>
        <w:t>IT: GE_GERICHTE A/4721/2019 del 25 febbraio 2021</w:t>
      </w:r>
    </w:p>
    <w:p>
      <w:pPr>
        <w:pStyle w:val="Heading2"/>
      </w:pPr>
      <w:r>
        <w:t>Erwägungen</w:t>
      </w:r>
    </w:p>
    <w:p>
      <w:r>
        <w:rPr>
          <w:b/>
        </w:rPr>
        <w:t>E. 5</w:t>
      </w:r>
    </w:p>
    <w:p>
      <w:r>
        <w:t>ème Chambre En la cause Monsieur A______, domicilié à VERNIER recourant contre OFFICE DE L'ASSURANCE-INVALIDITÉ DU CANTON DE GENÈVE, sis rue des Gares 12, GENÈVE intimé EN FAIT 1.        En date du 21 janvier 2014, Monsieur A______ (ci-après : l'assuré ou le recourant), né en 1967, divorcé et père de deux enfants, a déposé une demande de prestations d'invalidité pour adultes auprès de l'office de l'assurance-invalidité (ci-après : l'OAI ou l'intimé). Il indiquait sous la rubrique « atteinte à la santé » une dépendance aux opiacés, un traumatisme crânien avec séquelles, une hépatite C, ainsi que l'épilepsie. Il était sans travail, bénéficiant de l'aide de l'hospice général. Dans son dossier, figurait une lettre de sortie du département de santé mentale et de psychiatrie des HUG, avec pour code diagnostic CIM 10, d'autres formes de délirium F05.8, des troubles mentaux et du comportement liés à l'utilisation d'opiacés, syndrome de dépendance F11.22, des troubles mentaux du comportement liés à l'utilisation de dérivés du cannabis syndrome de dépendance, actuellement abstinent, mais dans un environnement protégé F12.21, une hépatite C active, une fibrose hépatique extensive, une épilepsie lésionnelle post-traumatisme crânien. Sous la rubrique condition d'hospitalisation, il était indiqué qu'il s'agissait de la 11 ème hospitalisation, pour faire le bilan des troubles cognitifs et praxiques en progression chez un patient connu pour une poly-toxicomanie. 2.        Le SMR de l'OAI a recommandé, en date du 28 février 2017, de mettre en place une expertise, voire un examen psychiatrique. L'OAI a mandaté pour ce faire le docteur B______, psychiatre et psychothérapeute. 3.        En date du 31 juillet 2017, l'expert a rendu un rapport sur la mission d'expertise diligentée sur l'assuré. Deux entretiens avaient eu lieu avec l'expertisé, pour un total de 3h30, ainsi qu'un entretien téléphonique avec la mère de l'expertisé - chez qui ce dernier vivait depuis son divorce - et un entretien téléphonique avec Madame C______, infirmière référente. Après une anamnèse minutieuse sur le plan familial, personnel et professionnel, l'expert avait cité les résultats de son entretien téléphonique avec la mère de l'expertisé, qui déclarait que ce dernier se débrouillait seul dans son quotidien ; il aidait dans les activités qu'elle n'arrivait plus à entreprendre, ajoutant qu'elle se disait tranquillisée par l'état de son fils qu'elle décrivait comme s'étant amélioré depuis plusieurs années, malgré la présence persistante d'angoisses liées notamment à l'avenir de ses enfants. Il avait peu de contacts et passait beaucoup de temps à la maison à jouer ou regarder la télévision. L'entretien téléphonique avec l'infirmière référente avait permis d'apprendre que l'expertisé était suivi au PEPS depuis avril 2010 et qu'elle le soignait depuis mars 2015. La fréquence des séances était irrégulière et dépendait de l'état de l'expertisé, variant d'une à deux fois par semaine à une fois par mois selon les périodes. Il s'agissait principalement de stabiliser les consommations de l'expertisé, qui présentait une évolution favorable, se montrait régulier, demandeur, impliqué dans sa prise en charge et autonome dans les démarches qu'il entreprenait. Sur le plan médical et psychiatrique, l'expert rappelait qu'en 1991, l'assuré avait fait une chute dans une piscine vide, dans un contexte de forte consommation, avec un hématome sous-dural fronto pariétal gauche et avait passé deux jours dans le coma avant que son état ne s'améliore, avec des séquelles, crises d'angoisse et épisode d'épilepsie post-lésionnelle. Par la suite, il avait fait l'objet de plusieurs hospitalisations, dans un contexte de sevrage aux opioïdes, il avait fait en hiver 1991 une overdose gravissime, puis avait été hospitalisé 11 fois au cours des années, la dernière fois en novembre 2013, à l'unité de psychiatrie hospitalière adulte des HUG. Après avoir examiné les différents rapports des médecins traitants et le bilan neuropsychologique de l'assuré, l'expert répondait aux questions de l'OAI de la façon suivante : le diagnostic était des troubles mentaux et du comportement liés à l'utilisation d'opiacés F11.2 et de sédatifs F13.2, ainsi que des troubles mentaux et du comportement liés à l'utilisation des dérivés du cannabis F12.2 ; selon l'expert, ses fonctions mnésiques instrumentales étaient pour l'essentiel préservées malgré un trouble attentionnel, un syndrome dysexécutif léger que l'on retrouvait très fréquemment chez les personnes en situation opioïde. Le suivi addictologique, installé de longue date était approprié, l'assuré faisait montre d'une bonne collaboration dans le cadre de son suivi d'addictologie qui ne présentait pas de comorbidités psychiatriques ; son profil actuel était clairement addictologique. L'expert considérait que l'assuré pouvait suivre un programme de réadaptation à temps plein dans le domaine de la mécanique, l'obstacle essentiel étant ici ses multiples dépendances aux substances psychoactives et le déconditionnement inévitable après 10 ans d'inactivité. Selon l'expert, contrairement aux diagnostics proposés par le passé, on ne retrouvait aucun trouble cognitif significatif ; il s'agissait d'une situation purement addictologique avec une possibilité de réadaptation qui restait intacte, bien qu'il soit évident que les troubles cognitifs, le détachement lié à la dépendance aux toxiques et le déconditionnement ne permettaient aucunement un retour en économie libre. La capacité de travail dans l'activité exercée jusqu'ici était estimée à 0%, mais la capacité de travail dans une activité correspondant aux aptitudes de l'assuré était estimée à 100%. 4.        Suite à l'expertise, le docteur D______, du SMR, a rendu un rapport du 4 septembre 2017 par lequel il résumait le rapport d'expertise du 31 juillet 2017 et reprenait le diagnostic des troubles mentaux et du comportement liés à l'utilisation d'opiacés. Selon le médecin-conseil, l'assuré ne présentait pas une atteinte incapacitante au sens de l'assurance-invalidité, car l'addiction décrite par l'expert n'était pas en relation avec une autre psychopathologie et l'examen neuropsychologique était dans la limite de la norme. Le SMR retenait que l'expertise était convaincante, tenait compte des plaintes de l'assuré et s'appuyait sur un examen clinique approfondi, complété par un examen neuropsychologique. 5.        Un projet de décision du 5 septembre 2017, refusant la rente d'invalidité et les mesures professionnelles a été envoyé à l'assuré qui a fait opposition, sans toutefois, apporter des précisions ou des documents médicaux complémentaires. L'OAI a donc rendu une décision de refus de rente d'invalidité et de mesures professionnelles, en date du 14 septembre 2017. L'assuré n'a pas fait recours et la décision est entrée en force. 6.        En date du 4 avril 2019, l'assuré a présenté une nouvelle demande de prestations d'invalidité à l'OAI, indiquant souffrir des mêmes troubles de la santé qu'il avait déjà mentionnés dans le cas de sa précédente demande avec, en sus, un calcanéum en août 2017. Il indiquait comme médecin le docteur E______, généraliste, ainsi que le docteur F______, psychiatre. Concernant ses antécédents professionnels, l'assuré déclarait comme dernière activité, stoppée en 2007, celle de mécanicien pour la ville de Genève, avec un salaire brut mensuel de CHF 5'800.-. 7.        Par courrier du 9 avril 2019, l'OAI a rappelé à l'assuré que le droit aux prestations qu'il sollicitait avait déjà fait l'objet d'une décision négative du 4 novembre 2017 et que sa nouvelle demande ne pouvait être examinée que s'il était établi, de façon plausible, que l'invalidité s'était modifiée, dans l'intervalle, de manière à influencer ses droits. Par conséquent, il lui était demandé de fournir tous les documents médicaux permettant de rendre plausible l'aggravation de son état de santé depuis la date de la dernière décision. 8.        Le 9 avril 2019, un rapport d'examen neuropsychologique a été effectué, à la demande du Dr E______, par le docteur G______, médecin adjoint aux HUG, et la psychologue H______, afin d'inventorier d'éventuels troubles cognitifs multifactoriels qui avaient été constatés lors d'un premier bilan neuropsychologique en 2012. Les conclusions du rapport étaient les suivantes ; sur le plan mnésique : performance normale en mémoire à court terme et de travail en modalité visuospatiale, performance supérieure à la norme en modalité verbale, améliorée en comparaison des bilans neuropsychologiques précédents ; en mémoire à long terme : en modalité verbale, troubles de l'encodage et troubles de la récupération en mémoire épisodique verbale ; en modalité visuelle, les performances se situaient entre normale et limite inférieure ; avec en conclusion que les performances étaient superposables pour la mémoire visuelle, mais se péjoraient en modalité verbale. Sur le plan exécutif et attentionnel, on relevait une amélioration notable au niveau de la capacité de vitesse de traitement et d'inhibition, avec des performances dans la norme, supérieures à la norme en comparaison du bilan neuropsychologique de 2012. 9.        Le Dr E______ a transmis à l'OAI un certificat médical du 8 mai 2019, se référant à la demande de l'OAI des nouveaux éléments médicaux, dans lequel il rappelait les diagnostics de ce patient polymorbide à savoir : une dépendance aux opiacés sous substitution F11.22 ; une épilepsie post-séquelles TCC et sevrage BDZ, sous haute dose de Rivotril ; des troubles cognitifs multifactoriels post TCC, médication psychotrope, anxiété généralisée et consommation de cannabis avec une dernière évaluation complète faite le 20 mars 2019 par la neuropsychologue I______ ; une dépendance au cannabis F12.2 ; un trouble anxieux généralisé F41 ; une ostéoporose du rachis, Tscores à -2.4 en 2017 ; une fibrose hépatique F3 sur HCV guérie en 2017, une fracture du calcanéum droit traitée par fixateur externe et une réduction de la facette postérieure du calcanéum. Le médecin se déclarait à disposition pour toute information complémentaire et dans l'attente de la décision de l'OAI. 10.    Parmi les documents transmis par le Dr E______ à l'OAI, figuraient un compte rendu opératoire du 4 septembre 2017, fait par le docteur J______, chirurgien et chef de clinique auprès des HUG, sur un diagnostic de fracture du calcanéum droit, indiquant que l'opération s'était bien déroulée et que le patient devait porter un Orthofix pendant 3 mois et subir des contrôles réguliers les mardis avec le « team pied » en salle de traitement. 11.    Suite à la réception des documents médicaux transmis par le Dr E______, le docteur K______, du SMR, a considéré, par avis du 8 juillet 2019, que l'assuré avait rendu plausible l'aggravation durable de son état de santé suite à la transmission des documents concernant l'intervention chirurgicale au niveau du calcanéum et a recommandé une entrée en matière sur la demande de l'assuré. 12.    Sur demande de l'OAI, la doctoresse L______, chirurgienne du service orthopédique traumatologie des HUG, a transmis une note de suite datée du 29 août 2018 décrivant l'évolution de l'assuré après sa fracture du calcanéum ; il était indiqué que l'évolution était favorable, que l'assuré allait bien et n'avait plus aucune douleur avec ses semelles, que la cicatrisation était bonne, ainsi que l'alignement du pied et qu'il n'y avait pas de douleurs à la palpation. Il suivait un traitement de physiothérapie et il était conseillé qu'il continue de porter des semelles plantaires ; la durée prévisible du traitement était estimée de 12 à 18 mois. 13.    En date du 22 octobre 2019, le Dr K______ du SMR a rendu un rapport final subséquent, considérant qu'à l'issue du bilan neuropsychologique, il apparaissait que l'assuré présentait des performances mnésiques exécutives et attentionnelles dans la norme et en amélioration depuis le dernier bilan pratiqué en 2012. Selon le Dr K______, l'atteinte à la santé incapacitante était principalement le status post-fracture du calcanéum droit, le début de l'incapacité de travail durable devait être fixé à 100% depuis le 31 août 2017, la capacité de travail exigible dans l'activité habituelle de mécanicien était de zéro, mais dans une activité adaptée était de 100% ; le début de l'aptitude à la réadaptation était le 29 août 2018, il n'y avait pas de traitement spécialisé raisonnablement exigible et au niveau des limitations fonctionnelles, il fallait une activité ne nécessitant pas de marche sur longue distance ni de station debout prolongée ni de port de charges de plus de 15 kg. 14.    Se fondant sur l'avis du SMR, l'OAI a rendu un projet de décision du 1 er novembre 2019, refusant la rente d'invalidité et les mesures professionnelles, au motif qu'après une comparaison des revenus avec et sans invalidité, la perte de gain due au calcanéum s'élevait à 10% ; dès lors que le degré d'invalidité était inférieur à 40%, il n'y avait pas de droit à une rente. Le revenu sans invalidité était estimé à CHF 67'430.-, alors que le revenu avec invalidité était estimé à CHF 60'687.-. Il en résultait une perte de gain de CHF 6'743.-. Les mesures professionnelles étaient refusées, notamment un éventuel reclassement professionnel, au motif que la perte de gain était inférieure à 20%. 15.    Par courrier du 25 novembre 2019, l'assuré a fait opposition en alléguant que son état de santé physique et psychique ne lui permettait pas de reprendre une activité professionnelle, en raison des problèmes d'équilibre suite à l'accident survenu il y a une vingtaine d'années. Depuis lors, il faisait des crises d'angoisse et avait régulièrement des flash-backs lui faisant revivre l'accident, ce qui affectait sa vie quotidienne. De plus, suite à son opération du pied, il n'arrivait plus à se mouvoir correctement et les douleurs s'accentuaient de jour en jour, l'empêchant d'être actif. Ces problèmes de santé pesaient sur son moral ce qui avait pour conséquence un repli sur lui-même ; il proposait de faire parvenir à l'OAI un rapport de son médecin généraliste et de son psychiatre attestant ses propos. L'OAI a fixé un délai au 12 décembre 2019 à l'assuré pour compléter son audition par des éléments médicaux circonstanciés. 16.    L'assuré n'ayant fait parvenir aucun document médical, en date du 17 décembre 2019, l'OAI a rendu une décision de refus de rente d'invalidité et de mesures professionnelles, se fondant sur les éléments déjà communiqués à l'assuré dans le cadre du projet de décision, notamment le fait que le degré d'invalidité était inférieur à 40%, ce qui excluait tout droit à une rente. 17.    En date du 19 décembre 2019, l'assuré a interjeté recours contre la décision du 17 décembre 2019, reprenant les arguments déjà avancés dans le cadre de son opposition et ajoutant que, sur conseil de son médecin généraliste, il demandait qu'une expertise soit mandatée afin de réévaluer son degré d'invalidité. Il ajoutait qu'il n'était pas apte à reprendre une activité professionnelle et ce dans n'importe quel domaine. 18.    L'OAI a répondu en date du 20 janvier 2020, soulignant que le recourant n'alléguait aucun fait précis susceptible de remettre en cause la décision attaquée et ne produisait aucun document médical à l'appui de son recours, ce qui empêchait l'intimé de faire une appréciation différente du cas et ce qui l'amenait à conclure au rejet du recours et la confirmation de la décision attaquée. 19.    Par courrier du 22 janvier 2020, la chambre de céans a demandé au recourant de joindre toutes pièces utiles à l'appui de son recours. Aucune pièce n'a été transmise. 20.    En date du 23 décembre 2020, la chambre de céans a rappelé au recourant qu'il n'avait produit aucun document à l'appui de son recours et qu'il évoquait un réseau de soins autour de lui, mais sans plus de précisions ; un délai au 15 janvier 2021 lui a été fixé pour qu'il transmette d'éventuels documents médicaux pouvant confirmer ses allégations. 21.    En l'absence de réaction, un ultime délai au 3 février 2021 a été fixé au recourant pour transmettre d'éventuels documents médicaux complémentaires, par courrier du 25 janvier 2021. Le recourant n'a pas répondu. 22.    Sur ce, la cause a été gardé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 er janvier 2021 est entrée en vigueur la modification du 21 juin 2019 de la LPGA. Toutefois, dans la mesure où le présent recours était, au 1 er janvier 2021, pendant devant la chambre de céans, il reste soumis à l'ancien droit (cf. art. 83 LPGA). 3.        À teneur de l'art. 1 al. 1 LAI, les dispositions de la LPGA s'appliquent à l'assurance-invalidité, à moins que la loi n'y déroge expressément. 4.        Le délai de recours est de trente jours (art. 56 LPGA; art. 62 al. 1 de la loi sur la procédure administrative du 12 septembre 1985 [LPA - E 5 10]). Interjeté dans la forme et le délai prévus par la loi, le recours est recevable (art. 56 ss LPGA et 62 ss LPA). 5.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ATF 125 V 413 consid. 1a; arrêt du Tribunal fédéral des assurances K 126/06 du 15 juillet 2007 consid. 3.1). Le juge n'entre donc pas en matière, en règle générale, sur des conclusions qui vont au-delà de l'objet de la contestation (ATF 125 V 413 consid. 1a; arrêt du Tribunal fédéral 8C_164/2009 du 18 mars 2010 consid. 2.1).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 rapport juridique externe à l'objet de la contestation ne doit pas avoir fait l'objet d'une décision passée en force de chose jugée et les droits procéduraux des parties doivent être respectés (arrêt du Tribunal fédéral 9C_678/2011 du 4 janvier 2012 consid. 3.1). b. De jurisprudence constante, le juge apprécie en règle générale la légalité des décisions entreprises d'après l'état de fait existant au moment où la décision litigieuse a été rendue (ATF 144 V 210 consid. 4.3.1; ATF 132 V 215 consid. 3.1.1). Les faits survenus postérieurement, et qui ont modifié cette situation, doivent en principe faire l'objet d'une nouvelle décision administrative (ATF 144 V 210 consid. 4.3.1; ATF 130 V 130 consid. 2.1). Même s'il a été rendu postérieurement à la date déterminante, un rapport médical doit cependant être pris en considération, dans la mesure où il a trait à la situation antérieure à cette date (cf. ATF 99 V 98 consid. 4 et les arrêts cités; arrêt du Tribunal fédéral 9C_259/2018 du 25 juillet 2018 consid. 4.2). 6.        Le litige porte sur le bien-fondé de la décision de refus de rente d'invalidité et de mesures professionnelles du 17 décembre 2019.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9C_869/2017 du 4 mai 2018 consid. 2.2). Ce n'est qu'en présence de circonstances particulières qu'il peut se justifier qu'on s'en écarte et qu'on recoure aux données statistiques résultant de l'ESS éditée par l'Office fédéral de la statistique (arrêts du Tribunal fédéral des assurances I 201/06 du 14 juillet 2006 consid. 5.2.3 et I 774/01 du 4 septembre 2002).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12.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p. 184).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13.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14.    Le Tribunal fédéral a déjà eu l'occasion de constater que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cf.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 15.    Selon le tableau T 18 « Salaire mensuel brut (valeur centrale) selon le taux d'occupation, la position professionnelle et le sexe » de l'ESS 2014, on constate en effet que les travailleurs occupés entre 50% et 74% perçoivent un salaire mensuel de CHF 5'714.- (calculé sur la base d'un taux d'occupation de 100%), soit un salaire moins élevé que celui versé en cas d'emploi à temps plein (taux d'occupation de 90% ou plus), lequel se monte à CHF 6'069.-. Dans la mesure où les statistiques démontrent que les travailleurs occupés entre 50% et 74% reçoivent un salaire mensuel inférieur de 5,84% à celui versé aux hommes travaillant à temps plein (taux d'occupation de 90% ou plus), il se justifie de procéder à un abattement supplémentaire pour ce motif (arrêt du Tribunal fédéral 9C_10/2019 du 29 avril 2019 consid. 5.2.2). 16.    Une unilatéralité de fait ou une restriction de la main dominante peut justifier un abattement compris entre 20% et 25% (arrêts du Tribunal fédéral 9C_363/2017 du 22 juin 2018 consid. 4.3 et 9C_396/2014 du 15 avril 2015 consid. 5.2). 17.    Cependant,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 op. cit., consid. 3.4). 18.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19.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20.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119 V 475 consid. 2b; ATF 114 V 313 consid. 3a; arrêt du Tribunal fédéral 8C_312/2016 du 13 mars 2017 consid. 5.4.1). 21.    Si l'on ne peut déterminer ou évaluer sûrement les deux revenus en cause, il faut, en s'inspirant de la méthode spécifique pour personnes sans activité lucrative (art. 28 a al. 2 LAI en corrélation avec les art. 27 RAI [RS 831.201]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arrêt du Tribunal fédéral 8C_312/2016 , op. cit., consid. 5.4.2).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À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 22.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23.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24.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25.    En l'espèce, seuls entrent en considération les troubles de la santé dus à la fracture du calcanéum, la décision attaquée n'entrant pas en matière sur les éventuels troubles de la santé résultant de l'addictologie du recourant. Invité à multiples reprises à communiquer à la chambre de céans d'éventuels documents médicaux soutenant ses allégations, le recourant n'a fourni aucune pièce. Il sied donc de se fonder sur les documents médicaux transmis par l'OAI, qui comprennent, notamment, les rapports fournis par le médecin-traitant du recourant, le généraliste E______. Parmi lesdits rapports, seul le compte-rendu opératoire du 4 septembre 2017, suite à l'opération chirurgicale du 31 août 2017, et la note de suite du « team pied » des HUG sont topiques pour évaluer le nouveau trouble de la santé retenu par l'OAI. Le compte-rendu opératoire, rédigé par le Dr J______ documente la mise en place d'un fixateur externe Orthofix sur le calcanéum pendant 3 mois, ainsi qu'un contrôle hebdomadaire régulier avec le « team pied ». La note de suite, rédigée par la Dresse L______, du « team pied », en date du 29 août 2018, décrit une évolution actuelle favorable, une suite de physiothérapie et la poursuite de l'utilisation de semelles plantaires. La durée prévisible du traitement est estimée entre 12 et 18 mois. Ces éléments médicaux, provenant des médecins-traitants du recourant, sont suffisants pour que la chambre de céans ne juge pas nécessaire d'ordonner une expertise judiciaire, la problématique médicale étant relativement simple et suffisamment documentée. Dans son rapport final subséquent, le Dr K______ du SMR, fixe le début de l'incapacité de travail durable à 100% au 31 août 2017, jour de l'opération chirurgicale. Il estime la capacité de travail exigible dans l'activité habituelle de mécanicien à zéro, mais dans une activité adaptée à 100% ; le début de l'aptitude à la réadaptation étant le 29 août 2018. Selon le médecin-conseil du SMR, il n'y a pas de traitement spécialisé raisonnablement exigible et au niveau des limitations fonctionnelles, il faut une activité ne nécessitant pas de marche sur une longue distance, ni de station debout prolongée, ni de port de charges de plus de 15 kg. En l'état, le moment de l'apparition de l'incapacité de travail est fixé au jour de l'intervention chirurgicale ce qui est corroboré par les déclarations du recourant dans le formulaire de demande de prestations invalidité indiquant l'apparition du calcanéum en août 2017. Le rapport du SMR est cohérent avec les éléments relevés par les médecins-traitants et leurs prévisions sur l'évolution, notamment le rapport de la Dresse L______. La chambre de céans considère dès lors comme établi au degré de la vraisemblance prépondérante que la capacité de travail du recourant dans son ancienne activité de mécanicien sur cycles et motos est nulle, mais qu'il conserve une capacité de 100% dans une activité adaptée avec les limitations énoncées par le Dr K______, soit une activité adaptée ne nécessitant pas de marche sur une longue distance, ni de station debout prolongée, ni de port de charges de plus de 15 kg. 26.    Dans un second temps et bien que le recourant ne remette pas en question ce point, il sied d'examiner le calcul effectué par l'OAI, afin de déterminer le taux d'invalidité du recourant par la méthode dite de comparaison des revenus. Dès lors que l'on ne peut se fonder sur le revenu ressortant de la dernière activité lucrative du recourant - ce dernier ne travaillant plus depuis 2007 - c'est à juste titre que l'OAI s'est fondée sur les tabelles statistiques, étant rappelé que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publiés I 43/05 du 30 juin 2006 consid. 5.2 et I 1/03 du 15 avril 2003 consid. 5.2). À cet égard, le calcul effectué par l'intimé n'est pas critiquable. Le recourant ne conteste d'ailleurs pas la prise en compte d'un revenu sans invalidité fondé sur les salaires statistiques. En revanche, s'agissant du revenu d'invalide, l'intimé n'a procédé à aucun 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Pour un indépendant, tout comme pour un salarié, le revenu sans invalidité est celui qu'il aurait pu obtenir s'il n'était pas invalide (art. 16 LPGA auquel renvoie l'art. 28a al. 1 LAI). Dans le cas d'espèce, le recourant est âgé de 53 ans et n'exerce plus aucune activité lucrative depuis de nombreuses années, ce qui induit un déconditionnement professionnel. Il est également établi qu'il subit des limitations fonctionnelles qui ont été décrites par le SMR et qu'il est victime d'un problème d'addictologie. Tenant compte de l'ensemble de ces éléments, la chambre de céans considère, dans le cadre de son pouvoir d'appréciation, qu'il est raisonnable d'appliquer un taux d'abattement de 10%, ce qui conduit à prendre en compte un salaire dans une activité adaptée de CHF 54'618.- en lieu et place de CHF 60'687.-. La comparaison des revenus permet alors d'établir une différence de CHF 12'812.- soit une perte de gain de 19%. Ce taux est toutefois inférieur au taux de 40% nécessaire à l'octroi d'une rente et inférieur au taux de 20% nécessaire à l'octroi de mesures professionnelles. 27.    Au vu de ce qui précède, le recours sera rejeté et le recourant sera condamné au paiement d'un émolument de CHF 200.- (art. 69 al.1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