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A/4714/2007 vom 17. Januar 2008</w:t>
      </w:r>
    </w:p>
    <w:p>
      <w:r>
        <w:t>GE Cour de justice, 2008-01-17, FR</w:t>
      </w:r>
    </w:p>
    <w:p>
      <w:r>
        <w:rPr>
          <w:b/>
        </w:rPr>
        <w:t xml:space="preserve">Quelle: </w:t>
      </w:r>
      <w:r>
        <w:t>https://mcp.opencaselaw.ch/entscheid/ge_gerichte_A_4714_2007</w:t>
      </w:r>
    </w:p>
    <w:p>
      <w:r>
        <w:t>FR: GE_GERICHTE A/4714/2007 du 17 janvier 2008</w:t>
      </w:r>
    </w:p>
    <w:p>
      <w:r>
        <w:t>IT: GE_GERICHTE A/4714/2007 del 17 gennaio 2008</w:t>
      </w:r>
    </w:p>
    <w:p>
      <w:pPr>
        <w:pStyle w:val="Heading2"/>
      </w:pPr>
      <w:r>
        <w:t>Regeste</w:t>
      </w:r>
    </w:p>
    <w:p>
      <w:r>
        <w:t>Minimum vital. | Dans un rapport de concubinage, lorsque les concubins n'ont pas d'enfants en commun, le montant qui peut être retenu à titre de participation du partenaire aux frais communs du ménage ne peut pas dépasser la moitié de ces frais. A ceux-ci s'ajoute la moitié de la base mensuelle d'entretien pour un compte ainsi que l'intégralité des autres charges. | LP.93</w:t>
      </w:r>
    </w:p>
    <w:p>
      <w:pPr>
        <w:pStyle w:val="Heading2"/>
      </w:pPr>
      <w:r>
        <w:t>Erwägungen</w:t>
      </w:r>
    </w:p>
    <w:p>
      <w:r>
        <w:rPr>
          <w:b/>
        </w:rPr>
        <w:t>E. 3</w:t>
      </w:r>
    </w:p>
    <w:p>
      <w:r>
        <w:t>En l’espèce, le débiteur et sa concubine n’ayant pas d’enfant en commun, il y a lieu, conformément à la jurisprudence du Tribunal fédéral susrappelée (cf. ATF 130 III 765 et 128 III 159 cités) – que la Commission de céans est tenue d’appliquer –, de retenir la moitié du montant de base pour un couple (soit 775 fr., cf. Françoise Bastons Bulletti , in SJ 2007 II 85), ainsi que la moitié des charges communes, soit en particulier le loyer, et ne pas tenir compte des revenus et des charges propres à la concubine du débiteur. Ainsi, le minimum vital du débiteur, calculé en application des Normes d’insaisissabilité pour l’année 2007, en vigueur lors de l’exécution de la saisie, et sur le vu des justificatifs produits, s’établit comme suit : Entretien de base (Normes I.1) 775 fr. (1500 fr. / 2) Loyer (Normes II.1) 1'450 fr. (2'900 fr. /2) Assurance-maladie (Normes II.3) 604 fr. 40 (1'813 fr. 20 / 3) Frais de repas (Normes II.4.b) 220 fr. Frais de transport (Normes II.4.c) 70 fr. Pensions alimentaires (Normes II.5) 3'160 fr. Total : 6'279 fr. 40 S’il est vrai que, comme le souligne l’intimée, il apparaît vraisemblable qu’au vu des liens existant entre le plaignant et son employeur, les frais de repas sont pris en charge par ce dernier, la Commission de céans ne saurait les expurger des charges mensuelles du débiteur en raison du principe de l’interdiction de la reformatio in pejus (cf. art. 20a al. 3 ch. 3 LP ; Pauline Erard , CR-LP, ad art. 20a n° 20). Au titre des revenus, la Commission de céans prend appui notamment sur les décomptes de salaire versés au dossier, qui fait état d’un salaire mensuel net de 6'945 fr. 90. La quotité saisissable du débiteur est donc de 666 fr. 50 par mois (6'945 fr. 90 – 6'279 fr. 40), soit en chiffres arrondis de 660 fr. par mois. La présente plainte est donc partiellement bien fondée, la quotité saisissable arrêtée par l’Office à concurrence de 830 fr. par mois portant atteinte au minimum vital du débiteur.</w:t>
      </w:r>
    </w:p>
    <w:p>
      <w:r>
        <w:rPr>
          <w:b/>
        </w:rPr>
        <w:t>E. 4</w:t>
      </w:r>
    </w:p>
    <w:p>
      <w:r>
        <w:t>Déboute les parties de toutes autres conclusions. Siégeant : M. Grégory BOVEY, président ; MM. Denis MATHEY et Olivier WEHRLI, juges assesseurs.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