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A/470/2024 vom 21. August 2024</w:t>
      </w:r>
    </w:p>
    <w:p>
      <w:r>
        <w:t>GE Cour de justice, 2024-08-21, FR</w:t>
      </w:r>
    </w:p>
    <w:p>
      <w:r>
        <w:rPr>
          <w:b/>
        </w:rPr>
        <w:t xml:space="preserve">Quelle: </w:t>
      </w:r>
      <w:r>
        <w:t>https://mcp.opencaselaw.ch/entscheid/ge_gerichte_A_470_2024</w:t>
      </w:r>
    </w:p>
    <w:p>
      <w:r>
        <w:t>FR: GE_GERICHTE A/470/2024 du 21 août 2024</w:t>
      </w:r>
    </w:p>
    <w:p>
      <w:r>
        <w:t>IT: GE_GERICHTE A/470/2024 del 21 agosto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60 al. 1 LPGA; art. 43 LPCC; art. 62 al. 1 let. a de la loi sur la procédure administrative du 12 septembre 1985 [LPA-GE - E 5 10] et art. 43 LPCC).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3</w:t>
      </w:r>
    </w:p>
    <w:p>
      <w:r>
        <w:t>Le litige porte sur le bien-fondé de la demande de restitution adressée le 20 novembre 2023 par l’intimé au recourant.</w:t>
      </w:r>
    </w:p>
    <w:p>
      <w:r>
        <w:rPr>
          <w:b/>
        </w:rPr>
        <w:t>E. 4.1</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(ATF 146 V 331 consid. 5.4 et les références ; 122 V 134 consid. 2 ; arrêt du Tribunal fédéral 9C_398/2021 du 22 février 2022 consid. 5.3 et les références ; cf. également arrêt du Tribunal fédéral 9C_313/2020 du 3 mars 2021 consid. 3.1 et les références). Au plan cantonal, l'art. 24 al. 1 phr. 1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En vertu de l'art. 25 al. 2 phr. 1 LPGA, le droit de demander la restitution s'éteint trois ans après le moment où l'institution d’assurance a eu connaissance du fait, mais au plus tard cinq ans après le versement de la prestation. Selon l’art. 11 al. 1 LPC, pour les conjoints qui n’ont pas droit aux prestations complémentaires, le revenu de l’activité lucrative est pris en compte à hauteur de 80%. Selon l’art. 25 al. 1 de l’ordonnance sur les prestations complémentaires à l’assurance-vieillesse, survivants et invalidité du 15 janvier 1971 (OPC-AVS/AI - RS 831.301), la prestation complémentaire annuelle doit être augmentée, réduite ou supprimée lors de chaque changement survenant au sein d’une communauté de personnes comprises dans le calcul de la prestation complémentaire annuelle (let. a);</w:t>
      </w:r>
    </w:p>
    <w:p>
      <w:r>
        <w:rPr>
          <w:b/>
        </w:rPr>
        <w:t>E. 4.2</w:t>
      </w:r>
    </w:p>
    <w:p>
      <w:r>
        <w:t>Selon l’art. 25 al. 1 LPGA, les prestations indûment touchées doivent être restituées. La restitution ne peut être exigée lorsque l’intéressé était de bonne foi et qu’elle le mettrait dans une situation difficile. Le droit cantonal prévoit également le principe de la remise de l’obligation de restituer ( cf . art. 24 al. 1 LPCC).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w:t>
      </w:r>
    </w:p>
    <w:p>
      <w:r>
        <w:rPr>
          <w:b/>
        </w:rPr>
        <w:t>E. 4.3</w:t>
      </w:r>
    </w:p>
    <w:p>
      <w:r>
        <w:t>En l’espèce, le recourant conteste la demande de restitution en invoquant la bonne foi et sa situation financière. Or, il s’agit là des deux conditions d’une remise de l’obligation de restituer, qui n’ont pas à être examinées dans le cadre d’un recours contre une demande de restitution au sens de l’art. 25 al. 1 phr. 1 LPGA, mais qui doivent l’être par l’intimé, une fois que la décision de restitution est entrée en force. Le recourant demande ainsi matériellement la remise de l’obligation de restituer. En l’occurrence, la demande de restitution apparaît bien fondée, dès lors que l’épouse du recourant vivait avec lui pendant la période en cause, du 1 er mars au 30 novembre 2023, et que le recourant a touché des prestations complémentaires en trop durant cette période. En effet, l’intimé n’avait pas pris en compte dans ses calculs les revenus de l’activité lucrative de l’épouse du recourant liés à sa nouvelle activité professionnelle débutée le 1 er mars 2023, n’ayant eu connaissance de ce fait que le 28 juin 2023. En rendant sa décision de restitution le 20 novembre 2023, l’intimé a rétabli une situation conforme au droit, en respectant les délais relatif et absolu de péremption.</w:t>
      </w:r>
    </w:p>
    <w:p>
      <w:r>
        <w:rPr>
          <w:b/>
        </w:rPr>
        <w:t>E. 5</w:t>
      </w:r>
    </w:p>
    <w:p>
      <w:r>
        <w:t>Le recours doit en conséquence être rejeté et l’intimé sera invité à se prononcer sur la demande de remise du recourant une fois le présent arrêt entré en force.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