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A/470/2006 vom 20. Juni 2006</w:t>
      </w:r>
    </w:p>
    <w:p>
      <w:r>
        <w:t>GE Cour de justice, 2006-06-20, FR</w:t>
      </w:r>
    </w:p>
    <w:p>
      <w:r>
        <w:rPr>
          <w:b/>
        </w:rPr>
        <w:t xml:space="preserve">Quelle: </w:t>
      </w:r>
      <w:r>
        <w:t>https://mcp.opencaselaw.ch/entscheid/ge_gerichte_A_470_2006</w:t>
      </w:r>
    </w:p>
    <w:p>
      <w:r>
        <w:t>FR: GE_GERICHTE A/470/2006 du 20 juin 2006</w:t>
      </w:r>
    </w:p>
    <w:p>
      <w:r>
        <w:t>IT: GE_GERICHTE A/470/2006 del 20 giugno 2006</w:t>
      </w:r>
    </w:p>
    <w:p>
      <w:pPr>
        <w:pStyle w:val="Heading2"/>
      </w:pPr>
      <w:r>
        <w:t>Erwägungen</w:t>
      </w:r>
    </w:p>
    <w:p>
      <w:r>
        <w:rPr>
          <w:b/>
        </w:rPr>
        <w:t>E. 4</w:t>
      </w:r>
    </w:p>
    <w:p>
      <w:r>
        <w:t>En l'espèce, à défaut d'attribution spéciale au Tribunal administratif, la compétence pour connaître d’une telle amende revient au Tribunal de police (art. 28 LOJ). En conséquence, même si cette autorité n’est pas une autorité administrative, la présente cause lui sera transmise d’office pour raison de compétence, en application de l’article 64 alinéa 2 LPA. En effet, M. D______ ne saurait subir un préjudice du fait de la notification irrégulière de la décision querellée, alors qu’il a agi en temps utile mais auprès d’une autorité incompétente, se fiant simplement à la voie de recours qui lui avait été indiquée à tort (art. 46, 47, 64 al. 2 LPA).</w:t>
      </w:r>
    </w:p>
    <w:p>
      <w:r>
        <w:rPr>
          <w:b/>
        </w:rPr>
        <w:t>E. 5</w:t>
      </w:r>
    </w:p>
    <w:p>
      <w:r>
        <w:t>Un émolument de CHF 500.- sera mis à la charge du service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