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A/4701/2008 vom 29. September 2009</w:t>
      </w:r>
    </w:p>
    <w:p>
      <w:r>
        <w:t>GE Cour de justice, 2009-09-29, FR</w:t>
      </w:r>
    </w:p>
    <w:p>
      <w:r>
        <w:rPr>
          <w:b/>
        </w:rPr>
        <w:t xml:space="preserve">Quelle: </w:t>
      </w:r>
      <w:r>
        <w:t>https://mcp.opencaselaw.ch/entscheid/ge_gerichte_A_4701_2008</w:t>
      </w:r>
    </w:p>
    <w:p>
      <w:r>
        <w:t>FR: GE_GERICHTE A/4701/2008 du 29 septembre 2009</w:t>
      </w:r>
    </w:p>
    <w:p>
      <w:r>
        <w:t>IT: GE_GERICHTE A/4701/2008 del 29 settembre 2009</w:t>
      </w:r>
    </w:p>
    <w:p>
      <w:pPr>
        <w:pStyle w:val="Heading2"/>
      </w:pPr>
      <w:r>
        <w:t>Erwägungen</w:t>
      </w:r>
    </w:p>
    <w:p>
      <w:r>
        <w:rPr>
          <w:b/>
        </w:rPr>
        <w:t>E. 18</w:t>
      </w:r>
    </w:p>
    <w:p>
      <w:r>
        <w:t>Reste à examiner si cette décision est arbitraire ou conduit à un résultat choquant.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 consid. 2 ; Arrêt du Tribunal fédéral 4P.149/2000 du 2 avril 2001, consid. 2 et les arrêts cités ; ATA/400/2009 du 25 août 2009 ; ATA/4/2009 du 13 janvier 2009 et les réf. citées).</w:t>
      </w:r>
    </w:p>
    <w:p>
      <w:r>
        <w:rPr>
          <w:b/>
        </w:rPr>
        <w:t>E. 19</w:t>
      </w:r>
    </w:p>
    <w:p>
      <w:r>
        <w:t>En l'espèce, l'autorité intimée pouvait considérer que M. G______ n'était pas un nouveau collaborateur car tel était bien le cas, et procéder comme elle l'a fait pour la fixation du traitement, le résultat n'étant pas inadmissible, même si la solution adoptée initialement par le DI dans sa décision du 3 novembre 2008 eût paru préférable. La décision prise finalement le 19 novembre 2008 ne peut ainsi être qualifiée d'arbitraire, selon la définition donnée ci-dessus.</w:t>
      </w:r>
    </w:p>
    <w:p>
      <w:r>
        <w:rPr>
          <w:b/>
        </w:rPr>
        <w:t>E. 20</w:t>
      </w:r>
    </w:p>
    <w:p>
      <w:r>
        <w:t>En conséquence, l'action pécuniaire sera rejetée. Vu l'issue du litige, un émolument de CHF 1'000.- sera mis à la charge de M. G______.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