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A/46/2023 vom 11. Mai 2023</w:t>
      </w:r>
    </w:p>
    <w:p>
      <w:r>
        <w:t>GE Cour de justice, 2023-05-11, FR</w:t>
      </w:r>
    </w:p>
    <w:p>
      <w:r>
        <w:rPr>
          <w:b/>
        </w:rPr>
        <w:t xml:space="preserve">Quelle: </w:t>
      </w:r>
      <w:r>
        <w:t>https://mcp.opencaselaw.ch/entscheid/ge_gerichte_A_46_2023</w:t>
      </w:r>
    </w:p>
    <w:p>
      <w:r>
        <w:t>FR: GE_GERICHTE A/46/2023 du 11 mai 2023</w:t>
      </w:r>
    </w:p>
    <w:p>
      <w:r>
        <w:t>IT: GE_GERICHTE A/46/2023 del 11 maggio 2023</w:t>
      </w:r>
    </w:p>
    <w:p>
      <w:pPr>
        <w:pStyle w:val="Heading2"/>
      </w:pPr>
      <w:r>
        <w:t>Regeste</w:t>
      </w:r>
    </w:p>
    <w:p>
      <w:r>
        <w:t>Minimum vital; saisie; entretien enfant majeur; frais d'une formation supérieure à l'étranger | lp.93</w:t>
      </w:r>
    </w:p>
    <w:p>
      <w:pPr>
        <w:pStyle w:val="Heading2"/>
      </w:pPr>
      <w:r>
        <w:t>Volltext</w:t>
      </w:r>
    </w:p>
    <w:p>
      <w:r>
        <w:t>Genève Cour de Justice (Cour civile) Chambre de surveillance en matière de poursuite et faillites 11.05.2023 A/46/2023</w:t>
      </w:r>
    </w:p>
    <w:p>
      <w:r>
        <w:t>Minimum vital; saisie; entretien enfant majeur; frais d'une formation supérieure à l'étranger | lp.93</w:t>
      </w:r>
    </w:p>
    <w:p>
      <w:r>
        <w:t>A/46/2023 DCSO/202/2023 du 11.05.2023 ( PLAINT ) , REJETE Descripteurs : Minimum vital; saisie; entretien enfant majeur; frais d'une formation supérieure à l'étranger Normes : lp.93 En fait En droit Par ces motifs RÉPUBLIQUE ET CANTON DE GENÈVE POUVOIR JUDICIAIRE A/46/2023-CS DCSO/202/23 DECISION DE LA COUR DE JUSTICE Chambre de surveillance des Offices des poursuites et faillites DU JEUDI 11 MAI 2023 Causes jointes (A/46/2023 et A/454/2023); plaintes 17 LP formées les 4 janvier et 9 février 2023 par A______ , élisant domicile en l'étude de Me Razi Abderrahim, avocat. * * * * * Décision communiquée par courrier A à l'Office concerné et par plis recommandés du greffier du à : - A______ ![endif]&gt;![if&gt; c/o Me ABDERRAHIM Razi Place d'Armes 19 1227 Carouge GE. - B______ c/o Me BERGER Alain BRS Berger Recordon &amp; de Saugy Boulevard des Philosophes 9 Case postale 1211 Genève 4. - Office cantonal des poursuites . EN FAIT A. a. A______ fait l'objet de la poursuite n° 1______, engagée à son encontre par les mineurs B______ et C______ en recouvrement de 45'719 fr. 18, dans le cadre de laquelle un avis de saisie lui a été communiqué le 5 septembre 2022 pour le 2 novembre 2022. b. Par courrier du 1 er novembre 2022, le conseil de A______ a informé l'Office cantonal des poursuites (ci-après: l'Office) de ce que le poursuivi faisait élection de domicile en son Etude. Il a sollicité le report d'un mois au moins de la date de l'audition de son mandant, lequel travaillait pour une organisation internationale et se trouvait en mission à l'étranger. c. Par lettre de son conseil du 8 novembre 2022, faisant suite à un entretien téléphonique que celui-ci avait eu la semaine précédente avec l’Office, A______ a communiqué à ce dernier "les documents sollicités" en vue de déterminer sa situation financière, en particulier les fiches de salaire, la preuve du versement de contributions d'entretien en faveur de ses enfants B______ et C______ et un décompte de son assurance-maladie du 1 er septembre 2022, accompagné de plusieurs factures concernant sa fille D______. A teneur de ce décompte, A______ avait fait valoir des factures liées à des traitements et à des médicaments reçus le 20 juillet 2022, d’un total de 1'538 fr. 55, pour lesquelles il avait été remboursé à hauteur de 1'036 fr. 84. Il avait en outre allégué des frais de 2'216 fr., mais n’avait présenté aucune facture pour ces derniers. d. Par avis du 2 décembre 2022, l'Office a communiqué à A______ la confirmation de la saisie sur ses gains réalisés auprès de son employeur, une organisation internationale, à hauteur de 3'280 fr. par mois, dès le mois de décembre 2022. e. Le même jour, l’Office a adressé à A______ un avis l’invitant à réduire ses frais de logement avant le 1 er juin 2023, le loyer mensuel de son appartement de 6,5 pièces, en 4'260 fr., étant excessif. Passé ce délai, l’Office n’aurait pris en compte, dans le calcul de son minimum vital, que la somme de 2'041 fr. par mois au titre de frais de logement. f. Les deux courriers de l’Office du 2 décembre 2022 ont été envoyés au poursuivi par courriers recommandés et par plis simples. L’avis de confirmation de saisie n’a pas été retiré au guichet postal. Celui concernant la réduction des frais de logement a été retiré le 8 décembre 2022. g. Le 21 décembre 2022, A______ s’est opposé, par le biais de son conseil, à la réduction du loyer pris en considération dans ses charges, alléguant notamment la nécessité d’une pièce comme bureau afin d’exercer son travail à domicile. h. Par courrier du 23 décembre 2022, l’Office a informé le débiteur que les frais de logement retenus dans ses charges à partir du 1 er juin 2023 s’élèveraient à 2'709 fr. par mois. i. Le 3 février 2023, l'Office a notifié à A______ le procès-verbal de saisie, établi le 27 janvier 2023, dans la série n° 2______, à laquelle participe la poursuite n° 1______. Selon le calcul du minimum vital de l’Office, les revenus mensuels du débiteur s’élèvent à 11'624 fr. et ses charges mensuelles à 8'336 fr., dont le loyer, en 4'260 fr., l'entretien de base, en 1'200 fr., les contributions d'entretien en faveur des enfants mineurs B______ et C______, à hauteur de 2'350 fr., des frais pour l'exercice du droit de visite, un week-end sur deux, sur B______ et C______ à hauteur de 214 fr., des frais de transport en 70 fr. et des frais pour les repas pris à l'extérieur de 242 fr. B. a. Dans l’intervalle, par acte posté le 4 janvier 2023, A______ a formé plainte contre l'avis du 2 décembre 2022, qu'il allègue avoir reçu au plus tôt le 22 décembre 2022, à son retour à Genève (A/46/2023). Il conclut à ce que ledit avis soit déclaré nul. Sa notification était viciée dans la mesure où elle était intervenue en violation de l’élection de domicile effectuée en faveur de son conseil. b. Par ordonnance du 11 janvier 2023, la Chambre de céans a refusé l'effet suspensif à la plainte formée le 4 janvier 2023. c. Dans son rapport du 27 janvier 2023, l’Office a conclu au rejet de cette plainte dans la mesure de sa recevabilité. d. Dans leurs observations du 6 février 2023, les mineurs B______ et C______ ont également conclu au rejet de la plainte, avec suite de frais et de dépens. e. Dans sa réplique du 27 février 2023, A______ a persisté dans ses conclusions. C. a. Par acte posté le 9 février 2023, A______ a également formé plainte contre le procès-verbal de saisie du 27 janvier 2023, concluant à sa nullité, subsidiairement à son annulabilité. Il fait valoir une atteinte à son minimum vital (A/454/2023). b. Par ordonnance du 14 février 2023, la Chambre de céans a ordonné la jonction des causes A/46/2023 et A/454/2023 sous A/46/2023 et refusé l'effet suspensif à la plainte formée le 9 février 2023. c. Dans son rapport du 3 mars 2023, l’Office a conclu au rejet de la plainte formée contre le procès-verbal de saisie du 27 janvier 2023. Il s’était par ailleurs rendu compte que ce procès-verbal ne prenait pas en considération sa décision du 23 décembre 2022 astreignant le débiteur à réduire ses frais de logement à compter du mois de juin 2023. Aussi, il avait adressé, le 3 mars 2023, un nouveau procès-verbal de saisie tenant compte de cet élément. Le calcul du minimum vital du débiteur figurant en annexe à ce procès-verbal est identique au précédent. La retenue imposée s’élèvera à 4'830 fr. du 1 er juin 2023 au 2 décembre 2023 pour tenir compte de la décision du 23 décembre 2022 liées au frais de logement du débiteur. d. Dans leurs déterminations du 7 mars 2023, les mineurs B______ et C______ ont conclu, préalablement, à la production de plusieurs documents et, principalement, au déboutement de A______ de toutes ses conclusions, avec suite de frais et de dépens. e. Par plis recommandés du 9 mars 2023, les parties ont été informées que la cause était gardée à juger.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1.1.2.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Jent-Sorensen, in BSK SchKG I, 3ème édition, 2021, N 19 ad art. 112 LP et Zondler, in Kommentar SchKG, 2017, Kren Kostkiewicz/Vock [éd.], N 4 ad art. 114 LP). Selon la jurisprudence de la Chambre de céans ( DCSO/203/2019 cons. 1.2),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 1.1.3. Par ailleurs, selon l'art. 90 LP, le débiteur doit être avisé de la saisie la veille au plus tard. Il n'est pas nécessaire que le débiteur dispose d'un préavis de 24 heures : il suffit que l'avis de saisie lui parvienne au plus tard la veille de la saisie (ATF 29 III 131 ). Cette disposition sert à protéger le débiteur : celui-ci doit en effet être en mesure d'assister à la saisie et de faire valoir ses droits, ce qui suppose qu'il en soit informé et qu'il puisse prendre ses dispositions (ATF 115 III 41 consid. 1; Foëx, Commentaire LP, n. 1 ad art. 90 LP). L'absence d'avis est une cause d'annulabilité – et non de nullité – de la saisie, qui peut être invoquée par la voie de la plainte à l'autorité de surveillance, sans attendre la notification du procès-verbal de saisie (ATF 77 III 104 consid. 2, JdT 1952 II 103). Il peut toutefois être remédié à ce vice si, nonobstant le défaut d'avis, le débiteur a été en mesure d'assister à la saisie ou de s'y faire représenter afin de faire valoir ses droits (ATF 115 III 41 consid. 1, JdT 1991 II 66). Selon Gilliéron, la saisie ne peut être annulée que si le poursuivi est lésé dans ses intérêts, qui méritent d'être protégés, et qu'il ne puisse être remédié à cette lésion (Gilliéron, Commentaire LP, n. 19 ad art. 90 LP). Il faut assimiler l'avis tardif, donné le jour même de la saisie, à l'absence d'avis (Foëx, op. cit., n. 22 ad art. 91 LP). 1.2. En l’espèce, l’acte du 4 janvier 2023 est dirigé contre l’avis du 2 décembre 2022. Dans ses écritures, le plaignant n’allègue, ni ne rend vraisemblable, que la saisie exécutée sur ses gains porterait atteinte à son minimum vital. La voie d’une plainte contre ledit avis n’apparaît ainsi pas ouverte. Par ailleurs, même à supposer que la notification de l’avis litigieux serait viciée, le plaignant a été dûment informé qu’une saisie allait être exécutée à son encontre par pli du 5 septembre 2022. Il a fait valoir ses droits par courrier de son conseil du 8 novembre 2022. A teneur de l’avis litigieux, la saisie devait en outre être exécutée en ses mains, de sorte qu’elle ne pouvait avoir lieu sans qu’il n’en ait eu connaissance. Au vu de ces éléments, le plaignant n’invoque aucun motif pour rendre vraisemblable un intérêt digne de protection en vue de l’annulabilité de l'avis de saisie. Partant, la plainte du 4 janvier 2023 est irrecevable. 1.3. Déposée en temps utile et dans les formes prévues par la loi, auprès de l'autorité compétente pour en connaître, par une partie potentiellement lésée dans ses intérêts, la plainte du 9 février 2023 dirigée contre le procès-verbal de saisie du 27 janvier 2023 est, quant à elle, recevable. 2. 2.1.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SJ 2000 I 449; Erard, Commentaire Romand, Poursuite et faillite, 2005, n° 60, 61, 64 à 66 ad art. 17 LP). 2.2. En l’espèce, le prononcé du nouveau procès-verbal de saisie du 3 mars 2023 ne rend pas sans objet la plainte du 9 février 2023, dès lors que l’Office n’a pas donné suite favorablement aux griefs du plaignant dans cet acte. 3. Le plaignant fait valoir une violation de l'art. 93 al. 1 LP, régissant le calcul par l'Office de son minimum vital. Il invoque une base mensuelle d’entretien de 1'350 fr. pour lui-même et de 600 fr. pour chacune de ses filles, E______ et D______, nées les ______ 2000 et ______ 2002. Il fait en outre valoir des frais d’université et de logement au Canada pour E______ (934 fr. 43 et 514 fr. 40) et en Grande-Bretagne pour D______ (819 fr. 32 et 412 fr.). Il reproche enfin à l’Office d’avoir écarté de ses charges les contributions dues à l’entretien des mineurs B______ et C______ (2'350 fr.) et des frais médicaux non remboursés (78 fr. 33). 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(Ochsner, Le minimum vital (art. 93 al. 1 LP), in SJ 2012 II p. 119 ss, 123; Collaud, Le minimum vital selon l'article 93 LP, in RFJ 2012 p. 299 ss, 303; arrêt du Tribunal fédéral 5A_919/2012 du 11 février 2013 consid. 4.3.1). 3.1.2.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in CR LP, 2005, n° 82 ad art. 93 LP). 3.1.3.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Le minimum vital, op. cit., p. 132). 3.1.4. L'entretien de l'enfant majeur doit être inclus dans le minimum vital du parent débiteur si ce dernier assume une obligation légale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limité par les conditions économiques et les ressources des parents (ATF 118 II 97 consid. 4).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arrêts du Tribunal fédéral 5A_429/2013 du 16 août 2013 consid. 4; 7B.200/1999 précité consid. 2, publié in: FamPra.ch, 2000 p. 550; Gilliéron, Commentaire de la loi fédérale sur la poursuite pour dettes et la faillite, n° 83 et 85 ad art. 93 LP). Il ressort en outre du chiffre II.6 NI, qui reprend la teneur du chiffre II des Lignes directrices pour le calcul du minimum d'existence en matière de poursuite selon l'art. 93 LP établies par la Conférence des préposés aux poursuites et faillites de Suisse du 1 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(arrêt du Tribunal fédéral 5A_919/2012 du 11 février 2013 consid. 5.3 et références citées). 3.1.5. Doivent également être pris en compte, dans le minimum vital du débiteur, les frais médicaux ou de médicaments au sens large (médicaments, dentiste, franchise, etc.), pour autant qu'ils soient effectifs, nécessaires et ne soient pas payés par une assurance (ATF 129 III 242 consid. 4.1). L'art. II.9 NI-2022 prévoit que si, au moment de la saisie, le débiteur doit faire face de manière imminente à des dépenses supplémentaires telles que des frais médicaux, il convient de tenir compte de ces dépenses, pour autant qu'elles soient raisonnables, en augmentant temporairement le minimum vital du montant correspondant. Les frais médicaux antérieurs à la saisie ne peuvent en revanche être pris en compte (ATF 85 III 67 ). 3.2. En l’espèce, la décision de l'Office de ne pas comptabiliser les dépenses que le plaignant indique assumer pour ses filles majeures, qui effectuent des études universitaires au Canada et en Grande-Bretagne, n'est pas critiquable. Conformément aux principes rappelés ci-avant, les dépenses liées à l’entretien des enfants majeurs, ayant déjà obtenu une maturité ou un diplôme de formation, n'ont pas à être intégrées au minimum vital de ses parents, lorsque, comme en l’espèce, ces derniers ne disposent pas d’une capacité financière suffisante. Pour ces mêmes motifs, c’est à bon droit que l’Office n’a pas tenu compte d’une base mensuelle d’entretien pour chacune des filles du plaignant dans le minimum vital. Le débiteur vivant seul, l’Office a retenu, à juste titre, une base mensuelle d’entretien pour lui de 1'200 fr. par mois. C’est en outre en vain que le plaignant reproche à l’Office de ne pas avoir comptabilisé les contributions dues à l’entretien de ses enfants B______ et C______, le procès-verbal de saisie litigieux faisant état d’une charge de 2'350 fr. à ce titre dans le minimum vital du débiteur. Au surplus, le plaignant fait valoir des frais médicaux « extraordinaires » non remboursés, qu’il chiffre à 940 fr. pour l’année 2022. Les documents fournis ne permettent pas de retenir que la plaignant doit régulièrement faire face à des frais médicaux non remboursés. Ce dernier ne donne aucune précision à ce sujet. Plus particulièrement, il n’allègue pas, ni ne rend vraisemblable, qu’il devra subir des traitements non pris en charge par son assurance-maladie pendant la durée de la saisie. Au demeurant, il qualifie, lui-même, les frais assumés durant l’été 2022 d’extraordinaires, laissant ainsi supposer qu’il ne s’agit pas de frais réguliers. Dans ces circonstances, c’est à bon droit que l’Office n’a pas tenu compte de telles dépenses dans le calcul de son minimum vital. Il s’ensuit que l'Office a correctement calculé la quotité saisissable des revenus du plaignant et que celui-ci ne subit aucune atteinte à son minimum vital. Mal fondée, la plainte formée le 9 février 2023 sera rejetée. 4. La procédure de plainte est gratuite (art. 20a al. 2 ch. 5 LP et art. 61 al. 2 let. a OELP) et il ne peut être alloué aucuns dépens dans cette procédure (art. 62 al. 2 OELP). * * * * * PAR CES MOTIFS, La Chambre de surveillance : A la forme : Déclare irrecevable la plainte formée le 4 janvier 2023 par A______ contre l’avis du 2 décembre 2022 de l'Office cantonal des poursuites, série n° 2______. Déclare recevable la plainte formée le 9 février 2023 par A______ contre le procès-verbal de saisie établi le 27 janvier 2023 dans la série n° 2______. Au fond : Rejette la plainte du 9 février 2023. Siégeant : Madame Verena PEDRAZZINI RIZZI, présidente; Monsieur Luca MINOTTI et Monsieur Mathieu HOWALD,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