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A/46/2005 vom 4. Oktober 2004</w:t>
      </w:r>
    </w:p>
    <w:p>
      <w:r>
        <w:t>GE Cour de justice, 2004-10-04, FR</w:t>
      </w:r>
    </w:p>
    <w:p>
      <w:r>
        <w:rPr>
          <w:b/>
        </w:rPr>
        <w:t xml:space="preserve">Quelle: </w:t>
      </w:r>
      <w:r>
        <w:t>https://mcp.opencaselaw.ch/entscheid/ge_gerichte_A_46_2005</w:t>
      </w:r>
    </w:p>
    <w:p>
      <w:r>
        <w:t>FR: GE_GERICHTE A/46/2005 du 4 octobre 2004</w:t>
      </w:r>
    </w:p>
    <w:p>
      <w:r>
        <w:t>IT: GE_GERICHTE A/46/2005 del 4 ottobre 2004</w:t>
      </w:r>
    </w:p>
    <w:p>
      <w:pPr>
        <w:pStyle w:val="Heading2"/>
      </w:pPr>
      <w:r>
        <w:t>Erwägungen</w:t>
      </w:r>
    </w:p>
    <w:p>
      <w:r>
        <w:rPr>
          <w:b/>
        </w:rPr>
        <w:t>E. 1</w:t>
      </w:r>
    </w:p>
    <w:p>
      <w:r>
        <w:t>Par décision sur opposition du 6 décembre 2004, le Conseil de discipline de l’Université de Genève a confirmé sa décision du 4 octobre 2004 prononçant l’exclusion de l’Université de Genève de Monsieur G__________, précisant que ladite décision était immédiatement exécutoire et qu’un recours n’aurait pas d’effet suspensif. En substance et en résumé, l’exclusion de M. G__________ fait suite à un comportement violent et menaçant que celui-ci a adopté en date des 22 mars et 11 juin 2004, l’étudiant s’étant rendu à deux reprises à des séminaires alors qu’il était sous l’effet de l’alcool et ayant violemment frappé et menacé un autre étudiant avec un couteau.</w:t>
      </w:r>
    </w:p>
    <w:p>
      <w:r>
        <w:rPr>
          <w:b/>
        </w:rPr>
        <w:t>E. 2</w:t>
      </w:r>
    </w:p>
    <w:p>
      <w:r>
        <w:t>M. G__________ a saisi la commission de recours de l’université (ci-après : CRUNI) d’un recours contre la décision précitée, par acte du 7 janvier 2005. Il conclut préalablement à la restitution de l‘effet suspensif et sur le fond à l’annulation de la décision querellée.</w:t>
      </w:r>
    </w:p>
    <w:p>
      <w:r>
        <w:rPr>
          <w:b/>
        </w:rPr>
        <w:t>E. 3</w:t>
      </w:r>
    </w:p>
    <w:p>
      <w:r>
        <w:t>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no 4 pp. 217 et ss ; RDAF, 1994, p. 320). Il est donc exclu d’attribuer un effet suspensif à une décision négative. Dans un tel cas, la voie à suivre est celle de mesures provisionnelles (ATF 117 V 185 et ss ; décision CRUNI O.C. du 26 août 2003 et les références citées). Ainsi, la CRUNI ne peut entrer en matière sur la demande restitution de l’effet suspensif, mais examinera cette demande sous l’angle des mesures provisionnelles.</w:t>
      </w:r>
    </w:p>
    <w:p>
      <w:r>
        <w:rPr>
          <w:b/>
        </w:rPr>
        <w:t>E. 4</w:t>
      </w:r>
    </w:p>
    <w:p>
      <w:r>
        <w:t>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w:t>
      </w:r>
    </w:p>
    <w:p>
      <w:r>
        <w:rPr>
          <w:b/>
        </w:rPr>
        <w:t>E. 5</w:t>
      </w:r>
    </w:p>
    <w:p>
      <w:r>
        <w:t>En l’espèce, les conclusions préalables prises par le recourant se confondent avec celles qu’il prend sur le fond. Or, il ne saurait, par la biais d’une décision sur mesures provisionnelles, obtenir une décision qui équivaudrait précisément à l’admission du recours sur le fond.</w:t>
      </w:r>
    </w:p>
    <w:p>
      <w:r>
        <w:rPr>
          <w:b/>
        </w:rPr>
        <w:t>E. 6</w:t>
      </w:r>
    </w:p>
    <w:p>
      <w:r>
        <w:t>Compte tenu de ce qui précède, la requête en mesures provisionnelles sera rejetée. Vu la nature du litige, aucun émolument ne sera mis à la charge du recourant (art. 33 RIOR).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