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A/4677/2008 vom 12. Februar 2009</w:t>
      </w:r>
    </w:p>
    <w:p>
      <w:r>
        <w:t>GE Cour de justice, 2009-02-12, FR</w:t>
      </w:r>
    </w:p>
    <w:p>
      <w:r>
        <w:rPr>
          <w:b/>
        </w:rPr>
        <w:t xml:space="preserve">Quelle: </w:t>
      </w:r>
      <w:r>
        <w:t>https://mcp.opencaselaw.ch/entscheid/ge_gerichte_A_4677_2008</w:t>
      </w:r>
    </w:p>
    <w:p>
      <w:r>
        <w:t>FR: GE_GERICHTE A/4677/2008 du 12 février 2009</w:t>
      </w:r>
    </w:p>
    <w:p>
      <w:r>
        <w:t>IT: GE_GERICHTE A/4677/2008 del 12 febbraio 2009</w:t>
      </w:r>
    </w:p>
    <w:p>
      <w:pPr>
        <w:pStyle w:val="Heading2"/>
      </w:pPr>
      <w:r>
        <w:t>Regeste</w:t>
      </w:r>
    </w:p>
    <w:p>
      <w:r>
        <w:t>Abus de droit. | La plaignante qui invoque une violation des art. 67 ch. 2 et 4 et 69 al. 2 ch. 1 LP conteste en réalité l'existence même de la créance. Or, sous réserve d'un abus manifeste de droit non réalisé en l'espèce, il n'appartient pas à la Commission de surveillance des Offices des poursuites et des faillites de dire si une prétention est exigée à bon droit ou non. | CC.2</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et qui sont contraires à la loi ou ne paraissent pas justifiées en fait (art. 17 LP ; art. 10 al. 1 et art. 11 al. 2 LaLP ; art. 56R al. 3 LOJ). La notification d'un commandement de payer constitue un acte sujet à plainte. La plaignante, en tant que poursuivie, a la qualité pour agir par cette voie. Sa plainte a été déposée dans le délai (art. 17 al. 2 LP) et les formes prescrites (art. 13 al. 1, 2 et 5 LaLP ; art. 65 LPA). 2.a. Cela étant, sous réserve d'un abus de droit manifeste, il n'appartient ni aux offices des poursuites ni aux autorités de surveillance de décider si une prétention est exigée à bon droit ou non (ATF non publié 7B.219/2006 et 7B.220/2006 du 16 avril 2007 consid. 3.3 ; ATF 115 III 21 , SJ 1989 p. 400 consid. 3b ; ATF 113 III 2 , JdT 1989 II 120/121 consid. 2b ; ATF 112 III 48 , JdT 1988 II 145 ss ;).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2.b. En l'espèce, la plaignante invoque une violation de la LP, soit des art. 67 ch. 2 et 4 et 69 al. 2 ch. 1 LP. Elle ne prétend toutefois pas que les mentions figurant dans le commandement de payer seraient inexactes et l'auraient induite en erreur (ATF non publié 7B. 91/2004 du 24 juin 2004 ; ATF 114 III 62 , JdT 1990 II 182 ; ATF 102 III 63 , JdT 1977 II 124) ou que la cause de la créance ne serait pas exprimée avec suffisamment de clarté (Roland Ruedin , CR-LP, ad art. 67 n° 34 ; ATF 121 III 19 -20, JdT 1997 II 95-96). La Commission de céans rappelle d'ailleurs que l'Office, saisi d'une réquisition de poursuite répondant aux exigences de l'art. 67 LP, est tenu d'y donner suite par la notification d'un commandement de payer (art. 71 al. 1 LP) sans avoir à se soucier de la réalité de la créance indiquée dans la réquisition de poursuite (Pierre-Robert Gilliéron , op. cit. ad art. 67 n° 16 ; Ammon/Walther , Grundriss des Schuldbetreibungs-und Konkurs, 7 ème édition, § 17 n° 1 ; ATF non publié 7B.36/2006 du 16 mai 2006, consid. 2.2). En réalité, la plaignante conteste l'existence même de la créance affirmant qu'elle n'a aucun lien contractuel avec la poursuivante, que le titre de la créance n'existe pas et qu'en tout état la somme réclamée n'est pas exigible. Elle fait donc implicitement valoir que la poursuite querellée représenterait un abus manifeste de droit. 2.c. Ce principe, exprimé à l’art. 2 CC et valable dans l’ensemble de l’ordre juridique, est recevable dans l'autorité de surveillance en tant qu'il est dirigé contre l’utilisation même des moyens qu’offre le droit de l’exécution forcée (Flavio C ometta , in SchKG I, ad art. 17 n° 27 ; Pierre-Robert Gilliéron , Commentaire, ad art. 17 n° 88 ; Franco Lorandi , Betreibungsrechtliche Beschwerde und Nichtigkeit, Kommentar zu den Artikeln 13 – 30 SchKG, 2000, ad art. 17 n° 274). C'est ainsi que la nullité d'une poursuite pour abus de droit peut être admise dans des cas exceptionnels, en particulier lorsqu'il est manifeste que le créancier agit dans un but sans le moindre rapport avec la procédure de poursuite, en particulier pour délibérément tourmenter le poursuivi ou dans la seule intention de ruiner sa bonne réputation (cf. les arrêts cités au consid. 2.a.).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C'est, en effet, une particularité du droit suisse que de permettre l'introduction d'une poursuite sans devoir prouver l'existence de la créance ; le titre de la créance n'est pas la créance elle-même ni le titre qui l'incorpore éventuellement, mais seulement le commandement de payer passé en force (ATF non publié 5A_250/2007 du 19 septembre 2007 consid. 3.1 in fine et les références). En l'occurrence, de telles circonstances exceptionnelles ne sont pas établies. Les prétentions de la poursuivante, basées sur le porte-fort de la plaignante pour les obligations contractées par sa filiale française, ne paraissent, en effet, pas manifestement dénuées de tout fondement. Quant à la question de l'exigibilité de la créance, elle échappe à la compétence de la Commission de céans, étant rappelé qu'en droit suisse, toute personne peut engager (immédiatement) une poursuite même si elle n'est pas encore créancière et faire reconnaître son droit par la voie de la procédure ordinaire ou administrative après que le poursuivi a fait opposition (art. 79 LP ; ATF non publié 7B.36/2006 du 16 mai 2006, consid. 2.2 in fine ; ATF 102 III 1 consid. 1b).</w:t>
      </w:r>
    </w:p>
    <w:p>
      <w:r>
        <w:rPr>
          <w:b/>
        </w:rPr>
        <w:t>E. 3</w:t>
      </w:r>
    </w:p>
    <w:p>
      <w:r>
        <w:t>Il résulte de ce qui précède que la plainte doit être rejetée dans la mesure de sa recevabilité. * * * * * PAR CES MOTIFS, LA COMMISSION DE SURVEILLANCE SIÉGEANT EN SECTION : Rejette, dans la mesure de sa recevabilité, la plainte formée par E______ SA le 19 décembre 2008 contre la notification du commandement de payer, poursuite n° 08 xxxx27 U.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