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A/4673/2006 vom 24. April 2007</w:t>
      </w:r>
    </w:p>
    <w:p>
      <w:r>
        <w:t>GE Cour de justice, 2007-04-24, FR</w:t>
      </w:r>
    </w:p>
    <w:p>
      <w:r>
        <w:rPr>
          <w:b/>
        </w:rPr>
        <w:t xml:space="preserve">Quelle: </w:t>
      </w:r>
      <w:r>
        <w:t>https://mcp.opencaselaw.ch/entscheid/ge_gerichte_A_4673_2006</w:t>
      </w:r>
    </w:p>
    <w:p>
      <w:r>
        <w:t>FR: GE_GERICHTE A/4673/2006 du 24 avril 2007</w:t>
      </w:r>
    </w:p>
    <w:p>
      <w:r>
        <w:t>IT: GE_GERICHTE A/4673/2006 del 24 aprile 2007</w:t>
      </w:r>
    </w:p>
    <w:p>
      <w:pPr>
        <w:pStyle w:val="Heading2"/>
      </w:pPr>
      <w:r>
        <w:t>Erwägungen</w:t>
      </w:r>
    </w:p>
    <w:p>
      <w:r>
        <w:rPr>
          <w:b/>
        </w:rPr>
        <w:t>E. 6</w:t>
      </w:r>
    </w:p>
    <w:p>
      <w:r>
        <w:t>Le montant du dommage correspond à celui pour lequel la caisse de compensation subit une perte (RCC 1972, p. 687). Appartiennent à ce montant les cotisations paritaires (cotisations patronales et d'employés ou ouvriers) dues par l'employeur, les contributions aux frais d'administration, les intérêts moratoires, les taxes de sommation et les frais de poursuite (Directives de l'OFAS sur la perception des cotisations N° 7015 et ss.). Le dommage est survenu dès que le montant dû de par la loi ne peut plus être recouvré pour des raisons juridiques ou de fait (RCC 1978, p. 259). Il en va ainsi lorsque la créance de cotisations est périmée par suite de prescription au sens de l'art. 16 al. 1 LAVS ou lorsque l'employeur est insolvable (prononcé de la faillite ou délivrance d'un acte de défauts de biens). Aussi le dommage subi par la caisse représente-t-il le montant des cotisations paritaires AVS-AI resté impayé pour un total de 111'335 fr., s'agissant du recourant.</w:t>
      </w:r>
    </w:p>
    <w:p>
      <w:r>
        <w:rPr>
          <w:b/>
        </w:rPr>
        <w:t>E. 7</w:t>
      </w:r>
    </w:p>
    <w:p>
      <w:r>
        <w:t>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(RCC 1987 p. 220). L'employeur qui ne s'acquitte pas de cette tâche commet une violation des prescriptions au sens de l'art. 52 LAVS, ce qui entraîne pour lui l'obligation de réparer entièrement le dommage ainsi occasionné (RCC 1985 p. 646). 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w:t>
      </w:r>
    </w:p>
    <w:p>
      <w:r>
        <w:rPr>
          <w:b/>
        </w:rPr>
        <w:t>E. 8</w:t>
      </w:r>
    </w:p>
    <w:p>
      <w:r>
        <w:t>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ATFA 114 V 79 , consid. 3; 113 V 256 , consid. 3c; RCC 1988, page 136, consid. 3c; ATFA 111 V 173,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 754, 1er al., en corrélation avec l'art. 759, 1er al.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 FORSTMOSER, Die aktienrechtliche Verantwortlichkeit, 2ème éd., p. 209 et ss).</w:t>
      </w:r>
    </w:p>
    <w:p>
      <w:r>
        <w:rPr>
          <w:b/>
        </w:rPr>
        <w:t>E. 9</w:t>
      </w:r>
    </w:p>
    <w:p>
      <w:r>
        <w:t>En l’occurrence, le défendeur était administrateur de la société, titulaire de la signature individuelle du 4 avril 2000 au 27 février 2002, puis de la signature collective à deux jusqu'au 3 janvier 2003 selon l'inscription au registre du commerce, étant toutefois précisé qu'il a en réalité démissionné le 16 mai 2002. Il a dès lors indiscutablement la qualité d’organe formel de la société anonyme. (cf. FORSTMOSER, op. cit. N° 654 et 655, p. 2089 ; GUHL, MERZ &amp; KUMMER, Das schweizerische Obligationenrecht, 7ème éd., p. 691; ATF 86 II 271 et 93 II 22 ). Il n'est partant, pas nécessaire d'examiner s'il assumait un rôle prépondérant à la formation de la volonté au sein de la société.</w:t>
      </w:r>
    </w:p>
    <w:p>
      <w:r>
        <w:rPr>
          <w:b/>
        </w:rPr>
        <w:t>E. 10</w:t>
      </w:r>
    </w:p>
    <w:p>
      <w:r>
        <w:t>De jurisprudence constante, le TFA a reconnu qu’il y avait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w:t>
      </w:r>
    </w:p>
    <w:p>
      <w:r>
        <w:rPr>
          <w:b/>
        </w:rPr>
        <w:t>E. 11</w:t>
      </w:r>
    </w:p>
    <w:p>
      <w:r>
        <w:t>En l'espèce, le recourant allègue n'avoir accepté le mandat d'administrateur qu'en raison de son lien de subordination avec Monsieur P_________. Il a du reste immédiatement démissionné lorsqu'il a été licencié le 27 février 2002. Il n’utilisait la signature individuelle dont il était titulaire que pour viser les paiements courants, sans avoir aucun pouvoir de décision quant à la gestion des comptes. Il ajoute qu'il n'avait même pas la possibilité de les consulter.</w:t>
      </w:r>
    </w:p>
    <w:p>
      <w:r>
        <w:rPr>
          <w:b/>
        </w:rPr>
        <w:t>E. 12</w:t>
      </w:r>
    </w:p>
    <w:p>
      <w:r>
        <w:t>Or, l'administrateur qui ne demande aucun renseignement sur le paiement et les décomptes des cotisations, ne donne pas d'instructions, n'ordonne pas de contrôles, agit par négligence grave (RCC 1989, p. 116; RCC 1983, p. 102). Un administrateur peut certes déléguer à des tiers les fonctions de gestion. Cette délégation ne le décharge cependant pas de son obligation de surveillance au sens de l'art. 716a al. 1 CO (RCC 1989 p. 116). Constitue quoi qu’il en soit une faute grave le fait d'accepter et de conserver le mandat d'administrateur sans exercer les pouvoirs et les devoirs qui sont attachés à cette charge. Même le membre exclu ou tenu à l'écart de la gestion a l'obligation de surveiller les personnes qui gèrent la société jusqu'à ce qu'il soit relevé de ses fonctions (RCC 1989, p. 114; RCC 1986, p. 420).</w:t>
      </w:r>
    </w:p>
    <w:p>
      <w:r>
        <w:rPr>
          <w:b/>
        </w:rPr>
        <w:t>E. 13</w:t>
      </w:r>
    </w:p>
    <w:p>
      <w:r>
        <w:t>Il apparaît ainsi que le recourant répond envers la caisse du dommage causé, même s'il était tenu à l'écart de la gestion de la société. Tel n'a quoi qu'il en soit pas été le cas si l'on se fonde sur les déclarations des témoins entendus dans le cadre de la procédure pénale selon lesquelles la gestion administrative et financière était conjointement assumée par Monsieur P_________ et lui-même.</w:t>
      </w:r>
    </w:p>
    <w:p>
      <w:r>
        <w:rPr>
          <w:b/>
        </w:rPr>
        <w:t>E. 14</w:t>
      </w:r>
    </w:p>
    <w:p>
      <w:r>
        <w:t>Le recourant fait enfin valoir qu'au moment de son licenciement et de sa démission en mai 2002, la situation de la société était saine et qu'elle ne s'est détériorée que l'année suivante. Le Tribunal de céans relève à cet égard que les cotisations étaient versées en retard dès la création de la société.</w:t>
      </w:r>
    </w:p>
    <w:p>
      <w:r>
        <w:rPr>
          <w:b/>
        </w:rPr>
        <w:t>E. 15</w:t>
      </w:r>
    </w:p>
    <w:p>
      <w:r>
        <w:t>Il y a ainsi lieu de constater que par passivité et par ignorance des responsabilités incombant à un administrateur, le recourant s'est accommodé du non-paiement des cotisations, et a, partant, commis une grave négligence.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