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A/4664/2007 vom 28. April 2008</w:t>
      </w:r>
    </w:p>
    <w:p>
      <w:r>
        <w:t>GE Cour de justice, 2008-04-28, FR</w:t>
      </w:r>
    </w:p>
    <w:p>
      <w:r>
        <w:rPr>
          <w:b/>
        </w:rPr>
        <w:t xml:space="preserve">Quelle: </w:t>
      </w:r>
      <w:r>
        <w:t>https://mcp.opencaselaw.ch/entscheid/ge_gerichte_A_4664_2007</w:t>
      </w:r>
    </w:p>
    <w:p>
      <w:r>
        <w:t>FR: GE_GERICHTE A/4664/2007 du 28 avril 2008</w:t>
      </w:r>
    </w:p>
    <w:p>
      <w:r>
        <w:t>IT: GE_GERICHTE A/4664/2007 del 28 aprile 2008</w:t>
      </w:r>
    </w:p>
    <w:p>
      <w:pPr>
        <w:pStyle w:val="Heading2"/>
      </w:pPr>
      <w:r>
        <w:t>Regeste</w:t>
      </w:r>
    </w:p>
    <w:p>
      <w:r>
        <w:t>Séquestre. | Les avoirs visés par l'ordonnance de séquestre sont les subsides, dus à la plaignante, "à verser", et non les contributions déjà versées par le tiers séquestré. Forme de la réquisition de poursuite. Recours au Tribunal fédéral rejeté par arrêt du 28 avril 2008, | LP.67.1; LP.99; LP.275; LP.276; LP.278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 La procédure d'opposition à l'ordonnance de séquestre (art. 278 LP) permet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conserve, par ailleurs, le droit de contrôler la régularité formelle de l'ordonnance de séquestre (Pierre-Robert Gilliéron , Le séquestre dans la LP révisée, in BlSchK 1995 p. 121 ss ; Michel Ochsner , Exécution du séquestre, in JdT 2006 II 77 ; ATF 129 III 203 ). 2.b. 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aurait cessé d'exister, soit parce qu'elle serait éteinte ensuite, par exemple de cession ou de compensation. L'office peut obliger le tiers à se déterminer (art. 91 al. 4 LP), mais n'a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au créancier poursuivant d'établir par le moyen d'une action judiciaire que le débiteur est réellement titulaire des droits qu'il lui attribue. Avant d'agir, le créancier devra se faire céder la créance conformément à l'art. 131 LP ou se la faire adjuger aux enchères publiques (ATF 120 III 18 consid. 4. ; ATF 109 III 11 consid. 2. ; arrêt 7B. 136/2006 du 18 décembre 2006, consid. 3. ; arrêt 7B. 220/2005 du 2 mars 2006, consid. 2. ; Walter Stoffel /Isabelle Chabloz , Commentaire romand, ad art. 275 n° 26). 2.c. En l'espèce, les avoirs à séquestrer sont, à teneur de l'ordonnance de séquestre, les « contributions d'entretien versées à Madame F______, en mains de M. L______, place Y, Genève » et le séquestre a été requis et ordonné en vertu de l'art. 271 al. 1 ch. 4 LP, lequel énonce que le créancier d'une dette échue et non garantie par gage peut requérir le séquestre des biens du débiteur lorsque celui-ci n'habite par la Suisse, s'il n'y a pas d'autres cas de séquestre, pour autant que la créance ait un lien suffisant avec la Suisse ou qu'elle se fonde sur un jugement exécutoire ou sur une reconnaissance de dette au sens de l'art. 82 al. 1 LP. Sur la base du dossier du séquestre à exécuter, en particulier de la requête de séquestre et du jugement de divorce prononcé entre la plaignante et le tiers débiteur -selon le dispositif duquel ce dernier a été condamné au versement de contributions d'entretien mensuelles en faveur de son épouse et de leurs enfants-, les avoirs visés sont bien les subsides dus à la plaignante, "à verser", soit la créance de celle-ci à l'encontre de celui-là, et non les contributions déjà versées par le tiers séquestré, lesquelles ne peuvent plus être saisies en ses mains, comme le relève d'ailleurs la plaignante elle-même. L'ordre donné par le juge du séquestre n'est par conséquent ni lacunaire ni imprécis et l'Office n'a pas séquestré d'autres biens que ceux dont il fait mention dans l'ordonnance de séquestre. Le tiers débiteur s'étant contenté de déclarer que le séquestre n'avait pas porté, c'est à bon droit que l'Office, en application de la jurisprudence rappelée ci-dessus, a séquestré les créances de la plaignante, au titre de créances contestées. Sur ce point, la plainte est donc mal fondée.</w:t>
      </w:r>
    </w:p>
    <w:p>
      <w:r>
        <w:rPr>
          <w:b/>
        </w:rPr>
        <w:t>E. 3</w:t>
      </w:r>
    </w:p>
    <w:p>
      <w:r>
        <w:t>La réquisition de poursuite n'est soumise à aucune exigence de forme. Elle peut être présentée par écrit ou verbalement (art. 67 al. 1 LP). Les réquisitions de poursuites écrites doivent être datées et porter la signature du poursuivant. En cas de remise de plusieurs réquisitions de poursuite, il suffit que le requérant appose sa signature autographe sur la lettre d'envoi (ATF 119 III 4 , JdT 1995 II 98). Dans le cas particulier, la poursuivante a présenté sa réquisition de poursuite en validation du séquestre considéré par écrit et cet acte est dûment daté et signé. L'allégué de la plaignante, selon lequel la réquisition de poursuite a été transmise par voie électronique -indication erronée qui lui a été donnée par l'Office- qu'elle n'est pas signée et qu'aucune lettre d'envoi générale n'est produite s'avère ainsi infondé. Pour le surplus, la Commission de céans n'examinera pas la question, qui ne se pose pas en l'espèce, de la signature des réquisitions de poursuite qui sont envoyées à l'Office au moyen de procédés électroniques.</w:t>
      </w:r>
    </w:p>
    <w:p>
      <w:r>
        <w:rPr>
          <w:b/>
        </w:rPr>
        <w:t>E. 4</w:t>
      </w:r>
    </w:p>
    <w:p>
      <w:r>
        <w:t>La présente plainte sera en conséquence rejetée. * * * * * PAR CES MOTIFS, LA COMMISSION DE SURVEILLANCE SIÉGEANT EN SECTION : A la forme : Déclare recevable la plainte formée le 28 novembre 2007 par Mme F______ contre le procès-verbal de séquestre n° 07 xxxx85 Z et la poursuite n° 07 xxxx30 B. Au fond : 1. La rejette. 2. Déboute les parties de toutes autres conclusions. Siégeant : Mme Ariane WEYENETH, présidente ; Mme Florence CASTELLA, juge assesseure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