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A/4649/2019 vom 9. Februar 2021</w:t>
      </w:r>
    </w:p>
    <w:p>
      <w:r>
        <w:t>GE Cour de justice, 2021-02-09, FR</w:t>
      </w:r>
    </w:p>
    <w:p>
      <w:r>
        <w:rPr>
          <w:b/>
        </w:rPr>
        <w:t xml:space="preserve">Quelle: </w:t>
      </w:r>
      <w:r>
        <w:t>https://mcp.opencaselaw.ch/entscheid/ge_gerichte_A_4649_2019</w:t>
      </w:r>
    </w:p>
    <w:p>
      <w:r>
        <w:t>FR: GE_GERICHTE A/4649/2019 du 9 février 2021</w:t>
      </w:r>
    </w:p>
    <w:p>
      <w:r>
        <w:t>IT: GE_GERICHTE A/4649/2019 del 9 febbraio 2021</w:t>
      </w:r>
    </w:p>
    <w:p>
      <w:pPr>
        <w:pStyle w:val="Heading2"/>
      </w:pPr>
      <w:r>
        <w:t>Regeste</w:t>
      </w:r>
    </w:p>
    <w:p>
      <w:r>
        <w:t>AMÉNAGEMENT DU TERRITOIRE ET DROIT PUBLIC DES CONSTRUCTIONS;PLAN DIRECTEUR;CONSTRUCTION ET INSTALLATION;TRAVAUX DE CONSTRUCTION;AUTORISATION PRÉALABLE;PERMIS DE CONSTRUIRE;5E ZONE;CONFORMITÉ À LA ZONE;EXCEPTION(DÉROGATION);PLAN D'AFFECTATION SPÉCIAL;JONCTION DE CAUSES;RÉGIME DES CONTRIBUTIONS CAUSALES;PRINCIPE DE LA COUVERTURE DES FRAIS;PRINCIPE DE L'ÉQUIVALENCE(CONTRIBUTION CAUSALE);LÉGALITÉ;ÉMOLUMENT | Absence de violation de la garantie de la propriété de la recourante dès lors que le projet de modification de zone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Le refus conservatoire prononcé par l'intimé est fondé dans la mesure où le département n'a pas abandonné le projet de modification des limites de zones concernant la parcelle de la recourante. Par rapport à l'art. 59 al. 4 let. a LCI, la chambre administrative n'est pas compétente pour apprécier la décision du département quant aux circonstances justifiant ou non l'octroi d'une dérogation, cet élément relevant de l'opportunité. En tout état de cause, le projet prévu par le département pourrait être concilié avec les problématiques soulevées par la CMNS dans son préavis. Recours rejeté. Avec l'art. 154 LCI, le législateur n'a ni déterminé le montant des émoluments dans une loi formelle, ni imposé des limites à leur détermination par le Conseil d'État, n'ayant pas déterminé un cadre ou un plafond ni précisé les bases de calcul des émoluments en cause, minima requis par le Tribunal fédéral. Il n'est pas établi que l'art. 257 al. 3 RCI vise ou a pour effet de mettre l'entier des coûts du département à la charge des requérants d'autorisation de construire. Dans ces circonstances, le principe de la couverture des frais ne permet pas d'encadrer de manière suffisante les émoluments en cause. Recours partiellement admis et renvoi du dossier au département pour qu'il calcule et détaille l'émolument dû. | LPA.70.al1; LPA.61; LCI.5; RCI.7.al2; LaLAT.13B; LCI.59.al4; LCI.156.al5; LCI.154; RCI.254; RCI.257.al3</w:t>
      </w:r>
    </w:p>
    <w:p>
      <w:pPr>
        <w:pStyle w:val="Heading2"/>
      </w:pPr>
      <w:r>
        <w:t>Erwägungen</w:t>
      </w:r>
    </w:p>
    <w:p>
      <w:r>
        <w:rPr>
          <w:b/>
        </w:rPr>
        <w:t>E. 2</w:t>
      </w:r>
    </w:p>
    <w:p>
      <w:r>
        <w:t>, ne respecte pas le principe de la couverture des frais et contrevient ainsi au principe de la légalité. La question de savoir s'il respecte ou non le principe de l'équivalence peut dès lors rester ouverte. Le grief sera admis. Le jugement du TAPI et la facture querellée seront partiellement annulés en tant qu'ils portent sur l'émolument de CHF 83'600.-, le bordereau étant confirmé pour le surplus. Le dossier sera renvoyé au département afin qu'il calcule et détaille l'émolument dû conformément aux principes de la légalité, de couverture des frais et d'équivalence. 15) Vu l'issue du litige, un émolument de CHF 1'000.- sera mis à la charge de la recourante en tant qu'elle succombe dans l'un de ses recours (art. 87 al. 1 LPA). Une indemnité de procédure de CHF 1'000.- sera allouée à la recourante à la charge de l'État de Genève, en lien avec le recours portant sur l'émolument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