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A/4632/2006 vom 7. März 2007</w:t>
      </w:r>
    </w:p>
    <w:p>
      <w:r>
        <w:t>GE Cour de justice, 2007-03-07, FR</w:t>
      </w:r>
    </w:p>
    <w:p>
      <w:r>
        <w:rPr>
          <w:b/>
        </w:rPr>
        <w:t xml:space="preserve">Quelle: </w:t>
      </w:r>
      <w:r>
        <w:t>https://mcp.opencaselaw.ch/entscheid/ge_gerichte_A_4632_2006</w:t>
      </w:r>
    </w:p>
    <w:p>
      <w:r>
        <w:t>FR: GE_GERICHTE A/4632/2006 du 7 mars 2007</w:t>
      </w:r>
    </w:p>
    <w:p>
      <w:r>
        <w:t>IT: GE_GERICHTE A/4632/2006 del 7 marzo 2007</w:t>
      </w:r>
    </w:p>
    <w:p>
      <w:pPr>
        <w:pStyle w:val="Heading2"/>
      </w:pPr>
      <w:r>
        <w:t>Erwägungen</w:t>
      </w:r>
    </w:p>
    <w:p>
      <w:r>
        <w:rPr>
          <w:b/>
        </w:rPr>
        <w:t>E. 6</w:t>
      </w:r>
    </w:p>
    <w:p>
      <w:r>
        <w:t>S'agissant du point de savoir si l'assistance d'un avocat est exigée et pas seulement justifiée par les circonstances, il y a lieu de relever que la recourante présente une fibromyalgie. Or les questions de droit relatives notamment au caractère invalidant d'une fibromyalgie ou d'un trouble somatoforme douloureux rendent la cause particulièrement complexe. Par ailleurs, il est indéniable que l'issue de la procédure engagée a une portée considérable pour l'intéressée (cf. ATFA non publié I 319/2005 du 14 août 2006, consid 4.2 et 4.2.2 et les références citées). Dès lors, il convient de constater que la recourante remplit également cette condition.</w:t>
      </w:r>
    </w:p>
    <w:p>
      <w:r>
        <w:rPr>
          <w:b/>
        </w:rPr>
        <w:t>E. 7</w:t>
      </w:r>
    </w:p>
    <w:p>
      <w:r>
        <w:t>Enfin, il y a lieu d'examiner si elle remplit également les conditions matérielles de l'assistance juridique. S'agissant des revenus de la recourante, elle touche entre 800 fr. et 1'100 fr. par mois de l'Hospice Général (914 fr. 50 en août 2006; 1'089 fr. 50 en septembre 2006 et 827 fr. en octobre 2006). Son loyer et ses primes d'assurance-maladie sont directement versés par l'Hospice Général, respectivement à la régie et à la caisse-maladie. Enfin, ne touchant pas de revenu, elle ne paie pas d'impôt. Il convient dès lors de ne déduire des ressources de la recourante que le montant de base mensuel selon les directives pour le calcul du minimum vital conformément à la loi fédérale sur la poursuite pour dettes et la faillite (LP), augmenté d’un supplément de 30%, soit 1'430 fr. (1'100 fr. + 30% de 1'100 fr.). Au terme de ce calcul, l'on constate que les revenus de la recourante sont inférieurs au montant du minimum vital selon à la LP, augmenté de 30%. Dès lors, il convient de constater que la condition du besoin est également remplie.</w:t>
      </w:r>
    </w:p>
    <w:p>
      <w:r>
        <w:rPr>
          <w:b/>
        </w:rPr>
        <w:t>E. 9</w:t>
      </w:r>
    </w:p>
    <w:p>
      <w:r>
        <w:t>Ainsi le recours, bien fondé, doit-il être admis. La recourante qui obtient gain de cause aura droit à des dépens, fixés en l'espèce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