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A/461/2005 vom 30. Juni 2005</w:t>
      </w:r>
    </w:p>
    <w:p>
      <w:r>
        <w:t>GE Cour de justice, 2005-06-30, FR</w:t>
      </w:r>
    </w:p>
    <w:p>
      <w:r>
        <w:rPr>
          <w:b/>
        </w:rPr>
        <w:t xml:space="preserve">Quelle: </w:t>
      </w:r>
      <w:r>
        <w:t>https://mcp.opencaselaw.ch/entscheid/ge_gerichte_A_461_2005</w:t>
      </w:r>
    </w:p>
    <w:p>
      <w:r>
        <w:t>FR: GE_GERICHTE A/461/2005 du 30 juin 2005</w:t>
      </w:r>
    </w:p>
    <w:p>
      <w:r>
        <w:t>IT: GE_GERICHTE A/461/2005 del 30 giugno 2005</w:t>
      </w:r>
    </w:p>
    <w:p>
      <w:pPr>
        <w:pStyle w:val="Heading2"/>
      </w:pPr>
      <w:r>
        <w:t>Regeste</w:t>
      </w:r>
    </w:p>
    <w:p>
      <w:r>
        <w:t>; AC ; SUSPENSION DU DROIT À L'INDEMNITÉ ; FAUTE DE GRAVITÉ MOYENNE ; RESILIATION ; CHÔMAGE IMPUTABLE À UNE FAUTE DE L'ASSURÉ</w:t>
      </w:r>
    </w:p>
    <w:p>
      <w:pPr>
        <w:pStyle w:val="Heading2"/>
      </w:pPr>
      <w:r>
        <w:t>Erwägungen</w:t>
      </w:r>
    </w:p>
    <w:p>
      <w:r>
        <w:rPr>
          <w:b/>
        </w:rPr>
        <w:t>E. 3</w:t>
      </w:r>
    </w:p>
    <w:p>
      <w:r>
        <w:t>ème Chambre du 30 juin 2005 En la cause Monsieur A__________, domicilié à CAROUGE recourant contre CAISSE CANTONALE GENEVOISE DE CHOMAGE, rue de Montbrillant 40, case postale 2293, 1211 GENEVE 2 intimée EN FAIT Monsieur A__________ a été engagé le 1 er avril 2003 par la société Y__________ SUISSE SA en qualité de garçon d’office. Les 18 février, 14 avril et 10 mai 2004, l’assuré a fait l’objet de trois avertissements écrits de son employeur, lequel lui a reproché ses retards incessants, qualifiés d’inacceptables. Le dernier avertissement annonçait qu’il serait suivi d’un licenciement si l’intéressé ne modifiait pas son comportement. Le 27 mai 2004, l’intéressé a été licencié avec effet au 30 juin 2004. S’étant annoncé auprès de l’Office cantonal de l’emploi (ci-après OCE), il a bénéficié d’un nouveau délai-cadre d’indemnisation dès le 1 er juillet 2004. Interrogé sur les motifs du licenciement, l’employeur a indiqué à l’OCE, par courrier du 21 septembre 2004, que l’assuré avait fait l’objet de trois avertissements écrits qui n’avaient pas été suivis d’effet. Quant à l’assuré, il a admis qu’il arrivait souvent en retard. Il a expliqué que son travail commençait à six heures du matin et qu’il lui arrivait de ne pas réussir à se réveiller. Par décision du 28 septembre 2004, l’OCE a prononcé une suspension du droit à l’indemnité de 38 jours au motif que l’assuré avait donné à son employeur un motif de résiliation. Le 1 er octobre 2004, l’assuré a formé opposition à cette décision. Il a fait valoir qu’une suspension de 38 jours était disproportionnée, qu’il travaillait également le soir, ce qui expliquait qu’il était très fatigué et qu’il avait des difficultés à se lever. Le 28 janvier 2005, l’OCE a rendu une décision sur opposition admettant partiellement cette dernière. Au vu des éléments du dossier, notamment de la jurisprudence du TFA, l’OCE a accepté de ramener la suspension à 31 jours afin de respecter le principe de la proportionnalité. Il a néanmoins relevé que de nombreuses arrivées tardives constituaient selon la jurisprudence un comportement fautif grave, ce d’autant que la ponctualité revêt une importance particulière dans la restauration où l’employeur doit pouvoir compter sur l’ensemble de son personnel. Par courrier du 21 février 2005, l’assuré a interjeté recours. Il admet avoir commis une faute mais relève que le total de ses retards s’élève à une heure (15mn, 30mn et 15mn) et estime que la sanction qui lui est infligée est donc disproportionnée. Il explique avoir également travaillé en tant que nettoyeur le soir, si bien qu’il avait de la peine à se réveiller aussi tôt. Il conclut à l’annulation ou à la diminution de la suspension. Invitée à se prononcer, l’intimée, dans sa réponse du 19 avril 2005, a proposé le rejet du recours. Il a été rappelé que la sanction de 38 jours avait été ramenée à 31 jours, soit le minimum prévu en cas de faute grave. Dans un courrier du 11 mai 2005, le recourant a fait valoir que la suspension qui lui est infligée correspond à 1080 heures de pénalisation alors que son arrivée tardive n’était que d’une heure. Il explique par ailleurs que son épouse est sans travail depuis deux ans et en attente d’une décision de prestations de l’assurance invalidité, et que la famille (ils ont un enfant de quatre ans) n’a donc que son salaire pour subsister. Il s’en remet à justice.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sur la partie générale du droit des assurances sociales du 6 octobre 2000 (LPGA), entrée en vigueur le 1 er janvier 2003, est applicable au cas d’espèce. Ainsi, les conditions de forme et délai à respecter pour la recevabilité du recours sont celles des art. 56 à 60 LPGA. Interjeté dans les forme et délai légaux, le recours est recevable. Le litige porte sur la suspension du droit du recourant à l’indemnité de chômage pour une durée de 31 jours. Selon la jurisprudence, il convient de sanctionner par une suspension du droit à l'indemnité de chômage celui qui, par son comportement, donne à l'employeur des raisons de mettre fin à l'activité temporaire (arrêt C 387/98 non publié du 22 juin 1999).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En l’espèce, les faits ne sont pas contestés par le recourant si bien qu’il apparaît qu’il a fourni des motifs objectifs de résiliation à son employeur et qu’une faute peut donc lui être reprochée. Reste à la qualifier et à déterminer la durée de la suspension qui doit être infligée. La durée de la suspension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l’occurrence et considérant d’ailleurs la jurisprudence à laquelle se réfère l’autorité intimée, soit l’ATFA C 362/00 du 12 janvier 2001, le Tribunal de céans est d’avis que la faute de l’assuré doit être qualifiée de moyenne. Certes, son employeur a dû l’avertir à trois reprises avant de se résoudre à le licencier et l’on peut estimer que l’assuré aurait pu changer son comportement. Cependant, dans l’arrêt du Tribunal fédéral des assurances susmentionné, ce dernier a qualifié de grave la faute commise par un employé dont les retards pouvaient atteindre parfois plus d’une heure et ce alors que la durée de son engagement avait été brève. Ce comportement a été réitéré sur une très courte période. Dès lors, et quand bien même la ponctualité revêt une importance particulière dans la restauration où l’employeur doit pouvoir compter sur l’ensemble de son personnel, il convient de tenir compte en l’occurrence du fait que les retards de l’assuré ont été de bien moindre importance et qu’ils se sont égrainés sur plusieurs mois. La faute du recourant sera donc qualifiée de moyenne, en l’occurrence. S’agissant de la durée de la suspension et pour tenir compte notamment de la situation financière et familiale difficile de l’assuré, le Tribunal de céans est d’avis qu’il se justifie de réduire la suspension du droit à vingt jours. Dans cette mesure, le recours est partiellement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