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A/4612/2017 vom 3. Mai 2018</w:t>
      </w:r>
    </w:p>
    <w:p>
      <w:r>
        <w:t>GE Cour de justice, 2018-05-03, FR</w:t>
      </w:r>
    </w:p>
    <w:p>
      <w:r>
        <w:rPr>
          <w:b/>
        </w:rPr>
        <w:t xml:space="preserve">Quelle: </w:t>
      </w:r>
      <w:r>
        <w:t>https://mcp.opencaselaw.ch/entscheid/ge_gerichte_A_4612_2017</w:t>
      </w:r>
    </w:p>
    <w:p>
      <w:r>
        <w:t>FR: GE_GERICHTE A/4612/2017 du 3 mai 2018</w:t>
      </w:r>
    </w:p>
    <w:p>
      <w:r>
        <w:t>IT: GE_GERICHTE A/4612/2017 del 3 maggio 2018</w:t>
      </w:r>
    </w:p>
    <w:p>
      <w:pPr>
        <w:pStyle w:val="Heading2"/>
      </w:pPr>
      <w:r>
        <w:t>Volltext</w:t>
      </w:r>
    </w:p>
    <w:p>
      <w:r>
        <w:t>Genève Cour de justice (Cour de droit public) Chambre administrative 03.05.2018 A/4612/2017</w:t>
      </w:r>
    </w:p>
    <w:p>
      <w:r>
        <w:t>A/4612/2017 ATA/422/2018 du 03.05.2018 sur JTAPI/170/2018 ( LCI ) , ACCORDE RÉPUBLIQUE ET CANTON DE GENÈVE POUVOIR JUDICIAIRE A/4612/2017 - LCI " ATA/422/2018 ![endif]--&gt; COUR DE JUSTICE Chambre administrative Décision du 3 mai 2018 sur effet suspensif dans la cause Madame A______ et Monsieur A______ représentés par Me Anaïs Loeffel, avocate contre DÉPARTEMENT DE L'AMÉNAGEMENT, DU LOGEMENT ET DE L'ÉNERGIE - OAC et COMMUNE B______ _________ Recours contre le jugement du Tribunal administratif de première instance du 21 février 2018 ( JTAPI/170/2018 ) Attendu en fait que : 1) Par décision publiée dans la Feuille d'avis officielle de la République et canton de Genève (ci-après : FAO) le 20 octobre 2017, le département de l’aménagement, du logement et de l’énergie (ci-après : le département) a délivré à la commune B______ une autorisation lui permettant d’édifier six containeurs enterrés et de déplacer un mur sur des parcelles qu’elle possède à l’adresse ______, C______.![endif]&gt;![if&gt; 2) Saisi d’un recours déposé par Madame A______ et Monsieur A______ le 17 novembre 2017, le Tribunal administratif de première instance (ci-après : TAPI) a confirmé l’autorisation litigieuse, par jugement du 21 février 2018.![endif]&gt;![if&gt; 3) Par acte du 6 avril 2018, M. et Mme A______ ont saisi la chambre administrative de la Cour de justice (ci-après : la chambre administrative) d’un recours contre le jugement précité, concluant principalement à ce que l’autorisation de construire litigieuse soit annulée et, préalablement, à ce que l’effet suspensif soit restitué au recours. Ce dernier n’avait pas un tel effet, en application de l’art. 146 al. 2 de la loi sur les constructions et les installations diverses du 14 avril 1988 (LCI - L 5 05).![endif]&gt;![if&gt; 4) Le 12 avril 2018, le TAPI a transmis son dossier, sans émettre d’observations.![endif]&gt;![if&gt; 5) Le 25 avril 2018, le département s’est déterminé tant sur effet suspensif qu’au fond, s’en rapportant à justice au sujet de l’effet suspensif.![endif]&gt;![if&gt; 6) La commune B______, le 30 avril 2018, s’en est aussi rapporté à justice.![endif]&gt;![if&gt; Considérant, en droit, que : 1) Interjeté dans la juridiction compétente et en temps utiles, le recours est recevable (art. 132 de la loi sur l'organisation judiciaire du 26 septembre 2010 - LOJ - E 2 05 ; art. 62 al. 1 de la loi sur la procédure administrative du 12 septembre 1985 - LPA - E 5 10).![endif]&gt;![if&gt; 2) Sauf disposition légale contraire, le recours a effet suspensif à moins que l’autorité qui a pris la décision attaquée n’ait ordonné l’exécution nonobstant recours (art. 66 al. 1 LPA).![endif]&gt;![if&gt; 3) L’art. 146 al. 2 LCI prévoit que lorsqu’un recours est dirigé contre une autorisation définitive, précédée d’une autorisation préalable ou d’un plan localisé de quartier en force, le recours n’a pas d’effet suspensif à moins qu’il ne soit restitué sur requête du recourant.![endif]&gt;![if&gt; En l’espèce, l’autorisation litigieuse n’est pas précédée d’une autorisation préalable ni d’un plan localisé de quartier. En conséquence, le recours a effet suspensif de plein droit, ce que la présente décision constatera. 4) Le sort des frais de la présente décision sera réservé jusqu’à droit jugé au fond.![endif]&gt;![if&gt; vu l’art. 66 al. 3 LPA et vu la disposition du règlement la chambre administrative ; vu l’art. 9 al. 1 du règlement de la chambre administrative du 26 septembre 2017 ; LA CHAMBRE ADMINISTRATIVE constate que le recours interjeté par Monsieur A______ et Madame A______ contre le jugement du Tribunal administratif de première instance du 21 février 2018 confirmant l’autorisation de construire délivrée à la commune B______ le 20 octobre 2017 a effet suspensif de plein droit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Anaïs Loeffel, avocate des recourants, au département de l'aménagement, du logement et de l'énergie, à la commune B______, ainsi qu'au Tribunal administratif de première instance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