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A/460/2023 vom 14. Mai 2024</w:t>
      </w:r>
    </w:p>
    <w:p>
      <w:r>
        <w:t>GE Cour de justice, 2024-05-14, FR</w:t>
      </w:r>
    </w:p>
    <w:p>
      <w:r>
        <w:rPr>
          <w:b/>
        </w:rPr>
        <w:t xml:space="preserve">Quelle: </w:t>
      </w:r>
      <w:r>
        <w:t>https://mcp.opencaselaw.ch/entscheid/ge_gerichte_A_460_2023</w:t>
      </w:r>
    </w:p>
    <w:p>
      <w:r>
        <w:t>FR: GE_GERICHTE A/460/2023 du 14 mai 2024</w:t>
      </w:r>
    </w:p>
    <w:p>
      <w:r>
        <w:t>IT: GE_GERICHTE A/460/2023 del 14 maggio 2024</w:t>
      </w:r>
    </w:p>
    <w:p>
      <w:pPr>
        <w:pStyle w:val="Heading2"/>
      </w:pPr>
      <w:r>
        <w:t>Regeste</w:t>
      </w:r>
    </w:p>
    <w:p>
      <w:r>
        <w:t>DROIT DES ÉTRANGERS;RESSORTISSANT ÉTRANGER;RENVOI(DROIT DES ÉTRANGERS);SÉJOUR ILLÉGAL;CAS DE RIGUEUR | Recours d'un ressortissant kosovar qui n’a jamais obtenu d’autorisation de séjour en Suisse. Le recourant ne peut pas se prévaloir d’une intégration sociale exceptionnelle ni d’une ascension professionnelle remarquable. Il a fait l'objet de deux condamnations pénales relatives à un séjour illégal et a en outre été condamné pour avoir fait de fausses déclarations et produit de faux documents dans le cadre de sa demande d’autorisation de séjour. Son épouse et ses enfants vivent au Kosovo, où il se rend régulièrement. Le refus de l'OCPM de délivrer l'autorisation de séjour requise pour cas de rigueur n'est pas constitutif d'un abus du pouvoir d'appréciation, et le prononcé du renvoi est conforme au droit. Rejet du recours. | LEI.30.al1.letb; LEI.64.al1; LEI.83.al1; OASA.31.al1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d’accorder au recourant une autorisation de séjour et son renvoi de Suisse.</w:t>
      </w:r>
    </w:p>
    <w:p>
      <w:r>
        <w:rPr>
          <w:b/>
        </w:rPr>
        <w:t>E. 2.1</w:t>
      </w:r>
    </w:p>
    <w:p>
      <w:r>
        <w:t>Le 1 er janvier 2019 est entrée en vigueur une modification de la loi sur les étrangers, devenue la LEI, et de l'ordonnance relative à l'admission, au séjour et à l'exercice d'une activité lucrative du 24 octobre 2007 (OASA - RS 142.201). Conformément à l’art. 126 al. 1 LEI, les demandes déposées, comme en l’espèce, avant cette date sont régies par l’ancien droit.</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2.3</w:t>
      </w:r>
    </w:p>
    <w:p>
      <w:r>
        <w:t>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2.4</w:t>
      </w:r>
    </w:p>
    <w:p>
      <w:r>
        <w:t>Ces critères, qui doivent impérativement être respectés, ne sont toutefois pas exhaustifs, d’autres éléments pouvant également entrer en considération, comme les circonstances concrètes ayant amené un étranger à séjourner illégalement en Suisse ( ATA/1087/2022 du 1er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w:t>
      </w:r>
    </w:p>
    <w:p>
      <w:r>
        <w:rPr>
          <w:b/>
        </w:rPr>
        <w:t>E. 2.5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w:t>
      </w:r>
    </w:p>
    <w:p>
      <w:r>
        <w:rPr>
          <w:b/>
        </w:rPr>
        <w:t>E. 2.6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ATAF F-1734/2019 du 23 mars 2020 consid. 8.5 et les références citées).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2.7</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(www.ge.ch/dossier/operation-papyrus/processus-normalisation-statut-sejour/rappel-du-cadre-legal, consulté le 22 avril 2024),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2.8</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2.9</w:t>
      </w:r>
    </w:p>
    <w:p>
      <w:r>
        <w:t>En l'espèce, il est établi que le recourant séjourne en Suisse depuis 2013. Comme le TAPI l'a ainsi considéré, au moment du dépôt de sa demande de régularisation, le 22 novembre 2018, le recourant, célibataire et sans enfants, ne pouvait pas justifier d’une durée de séjour de dix ans continue en Suisse. Bien qu'il soutienne avoir séjourné en Suisse depuis 2008, les pièces qu'il a produites attestent uniquement, dans le cas qui lui est le plus favorable, de séjours temporaires à compter de cette période, plus particulièrement ses cotisations AVS très irrégulières durant la période considérée, pour des périodes allant de cinq à onze mois par année. Enfin, même à considérer, dans la situation qui lui est la plus favorable, que le séjour du recourant en Suisse a été continu de 2013 à ce jour, cette durée doit être relativisée, conformément à la jurisprudence susmentionnée, par le caractère illégal du séjour jusqu'à la fin de l'année 2018, soit pendant cinq ans, puis sous le régime d'une tolérance, le temps que soit instruite sa demande d'autorisation de séjour déposée en novembre 2018, ce que le TAPI a retenu à juste titre. Le recourant ne remplit pas non plus les autres conditions permettant de retenir l’existence d’un cas de rigueur. Il ne peut en effet se prévaloir d’une intégration sociale remarquable, quand bien même il est financièrement indépendant, ne fait pas l'objet de poursuites et n’a pas recouru à l’aide sociale. Cette indépendance économique correspond à ce qui est attendu de tout étranger souhaitant s’établir durablement en Suisse et ne constitue donc pas un élément extraordinaire en faveur du recourant. Celui-ci a par ailleurs fait l’objet d’une condamnation pénale pour faux dans les titres, ayant produit une fausse attestation médicale à l’appui de sa demande d’autorisation de séjour, tentant d’induire en erreur l’autorité en vue d’obtenir frauduleusement une autorisation de séjour. Au vu de ce qui précède, son comportement ne peut être qualifié d’irréprochable, alors qu’un tel comportement est attendu de toute personne souhaitant la régularisation de ses conditions de séjour. Contrairement à ce que fait valoir le recourant, il ne peut être fait abstraction de sa tentative d’induire en erreur l’OCPM, faits pour lesquels il a été condamné par ordonnance pénale entrée en force. Les infractions de faux dans les titres et de tentative d’induire les autorités en erreur ne relèvent pas de son statut administratif. Contrairement à la situation d’un étranger condamné pour son statut illégal, le recours à la production de faux titres dénote une volonté d’induire les autorités en erreur et de violer les dispositions relatives, notamment, aux conditions d’octroi d’un titre de séjour. Le recourant ne peut ainsi se targuer d’une intégration sociale réussie, n’ayant pas respecté l’ordre public suisse. Dans ces circonstances, l’intérêt public s’oppose également à l’intérêt privé du recourant à demeurer en Suisse. Il n’est pas contesté que le recourant a œuvré à Genève en tant notamment que carreleur et monteur sanitaire. Ces activités ne présentent toutefois pas un degré de réussite tel qu’il ne pourrait être exigé de sa part de les poursuivre dans son pays d’origine. Au contraire, il apparaît que le recourant pourra y mettre à profit l’expérience professionnelle et les connaissances de la langue française acquises durant son séjour en Suisse. Les attestations qu'il a produites à la procédure ne permettent par ailleurs pas de retenir qu’il aurait fait preuve d’une intégration sociale exceptionnelle au sens de la jurisprudence précitée. Il n’apparaît en outre pas qu’il se soit investi d'une quelconque manière dans la vie associative ou culturelle genevoise durant son séjour. Âgé de 44 ans, il a passé son enfance, son adolescence et une partie de sa vie d’adulte au Kosovo. Il connaît ainsi les us et coutumes de son pays et en parle la langue. En outre, sa famille proche, sa femme et ses trois enfants vivent encore au Kosovo ; il y a donc conservé de forts liens familiaux et affectifs, y retournant d’ailleurs à plusieurs reprises au bénéfice de visas de retour. Il est par ailleurs en bonne santé. Ainsi, si le recourant se heurtera sans doute à des difficultés de réadaptation dans son pays d'origine, il ne démontre pas que celles-ci seraient plus graves pour lui que pour n'importe lequel de ses concitoyens se trouvant dans une situation similaire. La seule durée de son séjour en Suisse ne permet en aucun cas de retenir que le retour constituerait un déracinement ou entraînerait pour lui une détresse profonde. Il pourra faire valoir au Kosovo l’expérience acquise en Suisse. En outre, celui qui place l'autorité devant le fait accompli doit s'attendre à ce que celle-ci se préoccupe davantage de rétablir une situation conforme au droit que d'éviter les inconvénients qui en découlent pour lui (ATF 123 II 248 consid. 4a ; arrêts du Tribunal fédéral 1C_33/2014 du 18 septembre 2014 consid. 4.1 ; 1C_269/2013 du 10 décembre 2013 consid. 4.1 et les références citées). Au vu de l’ensemble de ces éléments, l’OCPM n’a pas violé le droit ni abusé de son pouvoir d’appréciation en retenant que le recourant ne remplissait pas les conditions restrictives permettant l’octroi d’une autorisation de séjour sous l’angle de l’ « opération Papyrus », ni pour cas de rigueur, ce que le TAPI a confirmé à juste titre.</w:t>
      </w:r>
    </w:p>
    <w:p>
      <w:r>
        <w:rPr>
          <w:b/>
        </w:rPr>
        <w:t>E. 3</w:t>
      </w:r>
    </w:p>
    <w:p>
      <w:r>
        <w:t>Il convient encore d’examiner si le renvoi prononcé par l’OCPM est fondé.</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et de tels éléments ne ressortent pas non plus du dossier. Entièrement mal fondé, le recours sera rejeté.</w:t>
      </w:r>
    </w:p>
    <w:p>
      <w:r>
        <w:rPr>
          <w:b/>
        </w:rPr>
        <w:t>E. 4</w:t>
      </w:r>
    </w:p>
    <w:p>
      <w:r>
        <w:t>Vu l'issue du recours,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